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2-2972-2602/24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июня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открытом судебном заседании гражданское дело по иску Ивановой Елены Александровны к Обществу с ограниченной ответственностью «ТВИЛ СОФТ» о защите прав потребителя,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Истец обратился с указанным иском к ответчику мотивируя свои требования тем, что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4" w:history="1">
        <w:r>
          <w:rPr>
            <w:rStyle w:val="cat-UserDefinedgrp-31rplc-8"/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...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собственником которого является ООО «ТВИЛ СОФТ», истец осуществил бронирование на заселение в гостиницу на период с 03.08.2024 по 14.08.2024 за № 5039678 и произвел оплату в размере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виду изменившихся обстоятельств 15.05.2024 истец отменил бронь и потребовал вернуть уплаченные денежные средства.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eastAsia="Times New Roman" w:hAnsi="Times New Roman" w:cs="Times New Roman"/>
          <w:sz w:val="28"/>
          <w:szCs w:val="28"/>
        </w:rPr>
        <w:t>в возврате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истцу было отказано, ссылаясь на соглашение, с которым истец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якобы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условиям размещенного на указанном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договора-оферты между ООО «ТВИЛ СОФТ» (л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цензиар) и физическим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(лицензиат), заключается лицензионное соглашение, где лицензиар устанавливает условия использования лицензиатом системы онлайн бронирования, принадлежащей лицензиару на законных основаниях «Автоматизированная система бронирования номеров в отелях, базах отдыха, комнат в гостевых домах, квартир и домов целиком для самостоятельных путешественников». Сумма лицензионного вознаграждения является единовременным платежом, взимаемым за каждый факт использования системы лицензиатом.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Истец считает, что ответчиком нарушены его права как потребителя, поскольку он вправе в любой момент отказаться от исполнения договора. В результате истец просит суд взыскать с ответчика в свою пользу денежные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, уплаченные за бронирование гостиницы,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компенсацию морального вреда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рублей, штраф за несоблюдение в добровольном порядке удовлетворения требований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судебную неустойку в размере 500 рублей в день со дня вступления решения в законную силу по день фактического исполнения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участвовала, извещена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просила суд рассмотреть дело в ее отсутствие, до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возражение на отзыв ответчика на исковое заявление, в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на исковых требованиях настоял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основаниям, указанным в заявлении, при этом уточнил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в силу норм закона в сфере защиты прав потребителей, она как потребитель имеет право в любой момент отказаться от исполнения договора и потребовать возврата уплаченных по нему денежных средств, при условии оплаты исполнителю фактически понесенных им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 связанных с исполнением обязательств по данному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отмена бронирования со </w:t>
      </w:r>
      <w:r>
        <w:rPr>
          <w:rFonts w:ascii="Times New Roman" w:eastAsia="Times New Roman" w:hAnsi="Times New Roman" w:cs="Times New Roman"/>
          <w:sz w:val="28"/>
          <w:szCs w:val="28"/>
        </w:rPr>
        <w:t>стороны потребителя имела место более чем за 45 суток до заселения, считает, что ответчик не понес никаких фактических расходов.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ответчика ООО «</w:t>
      </w:r>
      <w:r>
        <w:rPr>
          <w:rFonts w:ascii="Times New Roman" w:eastAsia="Times New Roman" w:hAnsi="Times New Roman" w:cs="Times New Roman"/>
          <w:sz w:val="28"/>
          <w:szCs w:val="28"/>
        </w:rPr>
        <w:t>ТВИЛ СОФТ</w:t>
      </w:r>
      <w:r>
        <w:rPr>
          <w:rFonts w:ascii="Times New Roman" w:eastAsia="Times New Roman" w:hAnsi="Times New Roman" w:cs="Times New Roman"/>
          <w:sz w:val="28"/>
          <w:szCs w:val="28"/>
        </w:rPr>
        <w:t>» в судебном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участвовал, извещен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просил рассмотреть дело в его отсутствие.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суду отзыв на исковое заявление, в 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, мотивируя свою позицию следующим.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Ответчик не оказывает гостиничные и иные сопутствующие услуги, не выступает посредником или агентом в отношениях между арендодателем и истцом и не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агрегатором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понимании Закона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истцом и ответчиком возн</w:t>
      </w:r>
      <w:r>
        <w:rPr>
          <w:rFonts w:ascii="Times New Roman" w:eastAsia="Times New Roman" w:hAnsi="Times New Roman" w:cs="Times New Roman"/>
          <w:sz w:val="28"/>
          <w:szCs w:val="28"/>
        </w:rPr>
        <w:t>икли правоотношения, которые регулируются ст.1286 ГК РФ, 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данным отношениям в рамках Лицензионного соглашения не может применяться Закон «О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Право пользования системой было предоставлено в полном объеме и надлежащего качества, отношения между сторонами исполнены в полном объеме. Денежные средства, полученные ответчиком от истца, являются платой за право пользования программным продуктом. В рамках реализации политики лояльности истцу была начислена сумма ТВИЛ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этой связи требования истца о взыскании неустойки, компенсации морального вреда и штрафа не обоснованы, поскольку отсутствуют какие-либо нарушения со стороны ответчика.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рассмотрел дело в отсутствие сторон, в соответствии с ч.5 ст.167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Гражданского процессуального кодекса Российской Федерации (ГПК РФ).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ООО «</w:t>
      </w:r>
      <w:r>
        <w:rPr>
          <w:rFonts w:ascii="Times New Roman" w:eastAsia="Times New Roman" w:hAnsi="Times New Roman" w:cs="Times New Roman"/>
          <w:sz w:val="28"/>
          <w:szCs w:val="28"/>
        </w:rPr>
        <w:t>ТВИЛ СОФТ</w:t>
      </w:r>
      <w:r>
        <w:rPr>
          <w:rFonts w:ascii="Times New Roman" w:eastAsia="Times New Roman" w:hAnsi="Times New Roman" w:cs="Times New Roman"/>
          <w:sz w:val="28"/>
          <w:szCs w:val="28"/>
        </w:rPr>
        <w:t>» является юридическим лицом, зарегистрированным в установленном законом порядке, о чем свидетельствует выписка из Единого государственного реестра юридических лиц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ч.1 ст.56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ГПК РФ </w:t>
      </w:r>
      <w:r>
        <w:rPr>
          <w:rFonts w:ascii="Times New Roman" w:eastAsia="Times New Roman" w:hAnsi="Times New Roman" w:cs="Times New Roman"/>
          <w:sz w:val="28"/>
          <w:szCs w:val="28"/>
        </w:rPr>
        <w:t>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ст.67 ГПК РФ,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09.05.2024 на сайте </w:t>
      </w:r>
      <w:hyperlink r:id="rId4" w:history="1">
        <w:r>
          <w:rPr>
            <w:rStyle w:val="cat-UserDefinedgrp-31rplc-22"/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...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собственником которого является ООО «ТВИЛ СОФТ», истец осуществил бронирование на заселение в гостиницу на период с 03.08.2024 по 14.08.2024 за № 5039678 и произвел оплату в размере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400 рублей, что подтверждается ваучером на заселение, кассовым чеком </w:t>
      </w:r>
      <w:r>
        <w:rPr>
          <w:rFonts w:ascii="Times New Roman" w:eastAsia="Times New Roman" w:hAnsi="Times New Roman" w:cs="Times New Roman"/>
          <w:sz w:val="28"/>
          <w:szCs w:val="28"/>
        </w:rPr>
        <w:t>(л.д.</w:t>
      </w:r>
      <w:r>
        <w:rPr>
          <w:rFonts w:ascii="Times New Roman" w:eastAsia="Times New Roman" w:hAnsi="Times New Roman" w:cs="Times New Roman"/>
          <w:sz w:val="28"/>
          <w:szCs w:val="28"/>
        </w:rPr>
        <w:t>13-1</w:t>
      </w:r>
      <w:r>
        <w:rPr>
          <w:rFonts w:ascii="Times New Roman" w:eastAsia="Times New Roman" w:hAnsi="Times New Roman" w:cs="Times New Roman"/>
          <w:sz w:val="28"/>
          <w:szCs w:val="28"/>
        </w:rPr>
        <w:t>5).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15.05.2024 истец отменил бронь и потребовал вернуть уплаченные денежные средства. В возврате денежных средств истцу было отказано, по мотиву того, что Правилами сайта возврат оплаты не предусмотрен, что подтверждается ответами от 15.05.2024 и от 17.05.2024 (л.д16-20).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ч.1 ст.779 Гражданского кодекса Российской Федерации (ГК РФ)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ст.310 ГК РФ односторонний отказ от исполнения обязательства и одностороннее изменение его условий не допускается, за исключением случаев, предусмотренных настоящим Кодексом, другими законами или иными правовыми актами.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одной стороной в настоящем договоре является гражданин, оплативший услугу, а с другой стороны юридическое лицо, обязующееся оказать гражданину услугу по исполнению обязательств по договору в полном или ограниченном размере, то к правоотношениям сторон подлежат применению положения Закона Российской Федерации № 2300-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07.02.1992 (далее Закон о защите прав потребителей).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ч.1 ст.16 Закона о защите прав потребителей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ст.32 Закона о защите прав потребителей, потребитель вправе отказаться от исполнения договора об оказании услуг в любое время при условии оплаты исполнителю фактически понесенных расходов, связанных с исполнением обязательств по данному договору.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ч.1-4 ст.450.1 ГК РФ предоставленное ГК РФ, другими законами, иными правовыми актами или договором право на односторонний отказ от исполнения договора может быть осуществлено </w:t>
      </w:r>
      <w:r>
        <w:rPr>
          <w:rFonts w:ascii="Times New Roman" w:eastAsia="Times New Roman" w:hAnsi="Times New Roman" w:cs="Times New Roman"/>
          <w:sz w:val="28"/>
          <w:szCs w:val="28"/>
        </w:rPr>
        <w:t>управомоченной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стороной путем уведомления другой стороны об отказе от исполнения договора. Договор прекращается с момента получения данного уведомления, если иное не предусмотрено ГК РФ, другими законами, иными правовыми актами или договором. В случае одностороннего отказа от исполнения договора полностью, если такой отказ допускается, договор считается расторгнутым. В случае отсутствия у одной из сторон лицензии на осуществление деятельности, необходимых для исполнения обязательства по договору, другая сторона вправе отказаться от исполнения договора и потребовать возмещения убытков. Сторона, которой законом предоставлено право на отказ от исполнения договора, должна при осуществлении этого права действовать добросовестно и разумно в пределах, предусмотренных ГК РФ, другими законами.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Вопреки доводам ответчика, заключенный между сторонами договор имеет природу возмездного оказания услуг, отказ от исполнения которого для заказчика влечет возврат денежных средств за вычетом фактически понесенных расходов исполнителя, а условия договора о сохранении денежных средств в электронном кошельке в виде ТВИЛ рублей для следующего бронирования прямо нарушают права истца как потребителя.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Истец обратился к ответчику с заявлением о возврате денежных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Указанное заявление было получено ответчиком в этот же день. Данный факт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ответом на заявление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вышеуказанных норм закона, с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действие договора было прекращено. Следовательно, </w:t>
      </w:r>
      <w:r>
        <w:rPr>
          <w:rFonts w:ascii="Times New Roman" w:eastAsia="Times New Roman" w:hAnsi="Times New Roman" w:cs="Times New Roman"/>
          <w:sz w:val="28"/>
          <w:szCs w:val="28"/>
        </w:rPr>
        <w:t>у ответчика возникла обязанность возвратить полученные им денежные средства за минусом суммы фактически понесенных им расходов, связанных с исполнением обязательств по данному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дела не содержат, а о</w:t>
      </w:r>
      <w:r>
        <w:rPr>
          <w:rFonts w:ascii="Times New Roman" w:eastAsia="Times New Roman" w:hAnsi="Times New Roman" w:cs="Times New Roman"/>
          <w:sz w:val="28"/>
          <w:szCs w:val="28"/>
        </w:rPr>
        <w:t>тветчиком не представлены доказательства, свидетельствующие о понесенных им каких-либо расходов, связанных с исполнением обязательств по данному договору.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требования истца о взыскании с ответчика ООО «</w:t>
      </w:r>
      <w:r>
        <w:rPr>
          <w:rFonts w:ascii="Times New Roman" w:eastAsia="Times New Roman" w:hAnsi="Times New Roman" w:cs="Times New Roman"/>
          <w:sz w:val="28"/>
          <w:szCs w:val="28"/>
        </w:rPr>
        <w:t>ТВИЛ СОФТ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денежных средств по договору об оказании услуг подлежат удовлетворению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Требование истца 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</w:t>
      </w:r>
      <w:r>
        <w:rPr>
          <w:rFonts w:ascii="Times New Roman" w:eastAsia="Times New Roman" w:hAnsi="Times New Roman" w:cs="Times New Roman"/>
          <w:sz w:val="28"/>
          <w:szCs w:val="28"/>
        </w:rPr>
        <w:t>неустойки суд находит необоснованным, поскольку возврат уплаченных в счет бронирования денежных средств был обусловлен отказом истца от договора по собственной инициативе, и не был связан с недостатками услуги, либо нарушением сроков ее оказания.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не подлежит применению к данному спору норма закона, предусмотренная ст.308.3 ГК РФ</w:t>
      </w:r>
      <w:r>
        <w:rPr>
          <w:rFonts w:ascii="Times New Roman" w:eastAsia="Times New Roman" w:hAnsi="Times New Roman" w:cs="Times New Roman"/>
          <w:sz w:val="28"/>
          <w:szCs w:val="28"/>
        </w:rPr>
        <w:t>, по своей сути регулирующая иной вид правоотношений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ст.15 Закона о защите прав потребителей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r>
        <w:rPr>
          <w:rFonts w:ascii="Times New Roman" w:eastAsia="Times New Roman" w:hAnsi="Times New Roman" w:cs="Times New Roman"/>
          <w:sz w:val="28"/>
          <w:szCs w:val="28"/>
        </w:rPr>
        <w:t>причинителем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п.45 постановления Пленума Верховного Суда Российской Федерации от 28 июня 2012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«О рассмотрении 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 факт нарушения прав потребителя, который выразился в нарушении ответчиком права потребителя на добровольный отказ от исполнения договора, а также в отказе ответчика добровольно возвратить потребителю в полном объеме денежные средства, уплаченные по договору.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суд считает, что заявленные истцом требования о компенсации морального вреда в соответствии с принципом разумности и справедливости подлежат удовлетворению в размере 5 000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п.46 постановления Пленума Верховного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28.06.2012 №17 «О рассмотрении судами гражданских дел по спорам о защите прав потребителей» штраф в пользу потребителя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взысканию в пользу потребителя независимо от того, заявлялось ли такое требование суду.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ст.13 Закона в связи с удовлетворением требований потребителя с ответчика за несоблюдение им в добровольном порядке удовлетворения требований потребителя подлежит взысканию штраф в размере 50 % от суммы, присуждённой судом в пользу потребителя.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расчёте штрафа суд исходит из суммы, присуждённой судом в пользу потребителя, которая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15 4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 средств, уплаченных </w:t>
      </w:r>
      <w:r>
        <w:rPr>
          <w:rFonts w:ascii="Times New Roman" w:eastAsia="Times New Roman" w:hAnsi="Times New Roman" w:cs="Times New Roman"/>
          <w:sz w:val="28"/>
          <w:szCs w:val="28"/>
        </w:rPr>
        <w:t>за бронирование гостиницы</w:t>
      </w:r>
      <w:r>
        <w:rPr>
          <w:rFonts w:ascii="Times New Roman" w:eastAsia="Times New Roman" w:hAnsi="Times New Roman" w:cs="Times New Roman"/>
          <w:sz w:val="28"/>
          <w:szCs w:val="28"/>
        </w:rPr>
        <w:t>, и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 компенсации морального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Соответственно, штраф в размере 50% от указанной суммы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15 4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+ 5 </w:t>
      </w:r>
      <w:r>
        <w:rPr>
          <w:rFonts w:ascii="Times New Roman" w:eastAsia="Times New Roman" w:hAnsi="Times New Roman" w:cs="Times New Roman"/>
          <w:sz w:val="28"/>
          <w:szCs w:val="28"/>
        </w:rPr>
        <w:t>000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 х 50 = </w:t>
      </w:r>
      <w:r>
        <w:rPr>
          <w:rFonts w:ascii="Times New Roman" w:eastAsia="Times New Roman" w:hAnsi="Times New Roman" w:cs="Times New Roman"/>
          <w:sz w:val="28"/>
          <w:szCs w:val="28"/>
        </w:rPr>
        <w:t>10 2</w:t>
      </w:r>
      <w:r>
        <w:rPr>
          <w:rFonts w:ascii="Times New Roman" w:eastAsia="Times New Roman" w:hAnsi="Times New Roman" w:cs="Times New Roman"/>
          <w:sz w:val="28"/>
          <w:szCs w:val="28"/>
        </w:rPr>
        <w:t>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снижения размера штрафа в соответствии со ст.333 ГК РФ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остальной части 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суд полагает необходимым отказать.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ч.1 ст.103 ГПК РФ издержки, понесённые судом в связи с рассмотрением дела, и государственная пошлина, от уплаты которых истец был освобождён, взыскиваются с ответчика, не освобождённого от уплаты судебных расходов, пропорционально удовлетворённой части исковых требований.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ответчик ООО «ТВИЛ СОФТ» законом не освобождён от уплаты государственной пошлины, она также подлежит взысканию с него в местный бюджет в размере: 616 рублей по требованию имущественного характера и 300 рублей по требованию неимущественного характера, в соответствии с требованиями ст.333.19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вышеизложенное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167, 194-199 Гражданского процессуального кодекса Российской Федерации,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Исковые требования Ивановой Елены Александровны к Обществу с ограниченной ответственностью «ТВИЛ СОФТ» о защите прав потребителя – удовлетворить частично.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Общества с ограниченной ответственностью «ТВИЛ СОФТ», ИНН </w:t>
      </w:r>
      <w:r>
        <w:rPr>
          <w:rStyle w:val="cat-PhoneNumbergrp-30rplc-4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Ивановой Елены Александровны, </w:t>
      </w:r>
      <w:r>
        <w:rPr>
          <w:rStyle w:val="cat-PassportDatagrp-27rplc-4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денежные средства, уплаченные по бронированию гостиницы в сумме 15 400 рублей, компенсацию морального вреда в размере 5 000 рублей, штраф в пользу потребителя в размере 10 200 рублей; а всего взыскать 30 600 (тридцать тысяч шестьсот) рублей 00 копеек.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остальной части в удовлетворении исковых требований Ивановой Елены Александровны к Обществу с ограниченной ответственностью «ТВИЛ СОФТ» -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Общества с ограниченной ответственностью «ТВИЛ СОФТ» государственную пошлину в размере 916 рублей в доход местного бюджета.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составлено 10.07.2024.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 ____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18"/>
          <w:szCs w:val="18"/>
        </w:rPr>
        <w:t>2972-2602/24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4612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1rplc-22">
    <w:name w:val="cat-UserDefined grp-31 rplc-22"/>
    <w:basedOn w:val="DefaultParagraphFont"/>
  </w:style>
  <w:style w:type="character" w:customStyle="1" w:styleId="cat-PhoneNumbergrp-30rplc-47">
    <w:name w:val="cat-PhoneNumber grp-30 rplc-47"/>
    <w:basedOn w:val="DefaultParagraphFont"/>
  </w:style>
  <w:style w:type="character" w:customStyle="1" w:styleId="cat-PassportDatagrp-27rplc-49">
    <w:name w:val="cat-PassportData grp-27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vil.ru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A1DD-FE2C-4B4C-A5BF-CECCC00AFF7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