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3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судебных заседаний </w:t>
      </w:r>
      <w:r>
        <w:rPr>
          <w:rStyle w:val="cat-FIOgrp-13rplc-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№2-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-2803/2025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>
        <w:rPr>
          <w:rStyle w:val="cat-OrganizationNamegrp-27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4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третье лицо </w:t>
      </w:r>
      <w:r>
        <w:rPr>
          <w:rStyle w:val="cat-OrganizationNamegrp-28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19242087-4 от </w:t>
      </w:r>
      <w:r>
        <w:rPr>
          <w:rStyle w:val="cat-Dategrp-4rplc-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истец </w:t>
      </w:r>
      <w:r>
        <w:rPr>
          <w:rStyle w:val="cat-OrganizationNamegrp-27rplc-10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обратился с исковым заявлением к </w:t>
      </w:r>
      <w:r>
        <w:rPr>
          <w:rStyle w:val="cat-FIOgrp-15rplc-1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требованиями о взыскании задолженности по договору займа.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Исковые требования мотивированы тем, что между </w:t>
      </w:r>
      <w:r>
        <w:rPr>
          <w:rStyle w:val="cat-OrganizationNamegrp-28rplc-12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ответчиком </w:t>
      </w:r>
      <w:r>
        <w:rPr>
          <w:rStyle w:val="cat-Dategrp-4rplc-1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заключен договор займа №</w:t>
      </w:r>
      <w:r>
        <w:rPr>
          <w:rFonts w:ascii="Times New Roman" w:eastAsia="Times New Roman" w:hAnsi="Times New Roman" w:cs="Times New Roman"/>
          <w:sz w:val="27"/>
          <w:szCs w:val="27"/>
        </w:rPr>
        <w:t>19242087-4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предоставлении кредита (займа) в размере </w:t>
      </w:r>
      <w:r>
        <w:rPr>
          <w:rStyle w:val="cat-Sumgrp-20rplc-14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Договор ответчиком подписан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электронной цифровой подписью. </w:t>
      </w:r>
      <w:r>
        <w:rPr>
          <w:rStyle w:val="cat-Dategrp-5rplc-1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8rplc-1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Style w:val="cat-OrganizationNamegrp-29rplc-17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заключили договор цессии №5, по которому право требования по долгу в полном объеме передано </w:t>
      </w:r>
      <w:r>
        <w:rPr>
          <w:rStyle w:val="cat-OrganizationNamegrp-29rplc-1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которое, в свою очередь, заключило договор №2201-ЦАСК от </w:t>
      </w:r>
      <w:r>
        <w:rPr>
          <w:rStyle w:val="cat-Dategrp-6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уступив право требования </w:t>
      </w:r>
      <w:r>
        <w:rPr>
          <w:rStyle w:val="cat-OrganizationNamegrp-27rplc-20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Ответчик обязанности по выплате основного долга и процентов не выполнил. Просроченная задолженность по договору составила </w:t>
      </w:r>
      <w:r>
        <w:rPr>
          <w:rStyle w:val="cat-Sumgrp-21rplc-21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том числе, </w:t>
      </w:r>
      <w:r>
        <w:rPr>
          <w:rStyle w:val="cat-Sumgrp-20rplc-22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–сумма основного долга и </w:t>
      </w:r>
      <w:r>
        <w:rPr>
          <w:rStyle w:val="cat-Sumgrp-22rplc-23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просроченные проценты.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Просит взыскать с ответчика в свою пользу задолженность по договору займа в размере </w:t>
      </w:r>
      <w:r>
        <w:rPr>
          <w:rStyle w:val="cat-Sumgrp-21rplc-24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расходы по оплате государственной пошлины в размере </w:t>
      </w:r>
      <w:r>
        <w:rPr>
          <w:rStyle w:val="cat-Sumgrp-23rplc-25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расходы на оплату почтовых услуг в размере </w:t>
      </w:r>
      <w:r>
        <w:rPr>
          <w:rStyle w:val="cat-Sumgrp-24rplc-26"/>
          <w:rFonts w:ascii="Times New Roman" w:eastAsia="Times New Roman" w:hAnsi="Times New Roman" w:cs="Times New Roman"/>
          <w:sz w:val="27"/>
          <w:szCs w:val="27"/>
        </w:rPr>
        <w:t>сумма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Представители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истца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третьего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судебное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е не явились</w:t>
      </w:r>
      <w:r>
        <w:rPr>
          <w:rFonts w:ascii="Times New Roman" w:eastAsia="Times New Roman" w:hAnsi="Times New Roman" w:cs="Times New Roman"/>
          <w:sz w:val="27"/>
          <w:szCs w:val="27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sz w:val="27"/>
          <w:szCs w:val="27"/>
        </w:rPr>
        <w:t>об отложении судебн</w:t>
      </w:r>
      <w:r>
        <w:rPr>
          <w:rFonts w:ascii="Times New Roman" w:eastAsia="Times New Roman" w:hAnsi="Times New Roman" w:cs="Times New Roman"/>
          <w:sz w:val="27"/>
          <w:szCs w:val="27"/>
        </w:rPr>
        <w:t>ого заседания не ходатайствовал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от представителя истца поступило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ходатайство о рассмотрении дела в его отсутствии.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руководствуясь ч.5 ст.167 ГПК РФ, счел возможным рассмотреть дело </w:t>
      </w:r>
      <w:r>
        <w:rPr>
          <w:rFonts w:ascii="Times New Roman" w:eastAsia="Times New Roman" w:hAnsi="Times New Roman" w:cs="Times New Roman"/>
          <w:sz w:val="27"/>
          <w:szCs w:val="27"/>
        </w:rPr>
        <w:t>в отсутствие указанных лиц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Ответчик </w:t>
      </w:r>
      <w:r>
        <w:rPr>
          <w:rStyle w:val="cat-FIOgrp-16rplc-2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исковыми требованиями не соглас</w:t>
      </w:r>
      <w:r>
        <w:rPr>
          <w:rFonts w:ascii="Times New Roman" w:eastAsia="Times New Roman" w:hAnsi="Times New Roman" w:cs="Times New Roman"/>
          <w:sz w:val="27"/>
          <w:szCs w:val="27"/>
        </w:rPr>
        <w:t>ился</w:t>
      </w:r>
      <w:r>
        <w:rPr>
          <w:rFonts w:ascii="Times New Roman" w:eastAsia="Times New Roman" w:hAnsi="Times New Roman" w:cs="Times New Roman"/>
          <w:sz w:val="27"/>
          <w:szCs w:val="27"/>
        </w:rPr>
        <w:t>, суду пояснил, что договор займа №</w:t>
      </w:r>
      <w:r>
        <w:rPr>
          <w:rFonts w:ascii="Times New Roman" w:eastAsia="Times New Roman" w:hAnsi="Times New Roman" w:cs="Times New Roman"/>
          <w:sz w:val="27"/>
          <w:szCs w:val="27"/>
        </w:rPr>
        <w:t>19242087-4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Style w:val="cat-OrganizationNamegrp-28rplc-2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заключал, денежные средства от </w:t>
      </w:r>
      <w:r>
        <w:rPr>
          <w:rStyle w:val="cat-OrganizationNamegrp-28rplc-2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получал, номер телефона, </w:t>
      </w:r>
      <w:r>
        <w:rPr>
          <w:rFonts w:ascii="Times New Roman" w:eastAsia="Times New Roman" w:hAnsi="Times New Roman" w:cs="Times New Roman"/>
          <w:sz w:val="27"/>
          <w:szCs w:val="27"/>
        </w:rPr>
        <w:t>на который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направлено СМС-сообщение с кодом электронной подписи, ему не принадлежит.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его заявлению по факту заключения договора займа от его имени он написал заявление в полицию, на основании которого возбуждено уголовное дело.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ходатайству ответчика к материалам дела приобщены копия постановления о возбуждении уголовного дела №202402175/25 от </w:t>
      </w:r>
      <w:r>
        <w:rPr>
          <w:rStyle w:val="cat-Dategrp-7rplc-3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копия постановления о приостановлении дознания по уголовному делу №202402175/25 в связи с </w:t>
      </w:r>
      <w:r>
        <w:rPr>
          <w:rFonts w:ascii="Times New Roman" w:eastAsia="Times New Roman" w:hAnsi="Times New Roman" w:cs="Times New Roman"/>
          <w:sz w:val="27"/>
          <w:szCs w:val="27"/>
        </w:rPr>
        <w:t>неустанов</w:t>
      </w:r>
      <w:r>
        <w:rPr>
          <w:rFonts w:ascii="Times New Roman" w:eastAsia="Times New Roman" w:hAnsi="Times New Roman" w:cs="Times New Roman"/>
          <w:sz w:val="27"/>
          <w:szCs w:val="27"/>
        </w:rPr>
        <w:t>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лица, подлежащего привлечению в качестве обвиняемого, а также информацию </w:t>
      </w:r>
      <w:r>
        <w:rPr>
          <w:rStyle w:val="cat-OrganizationNamegrp-30rplc-31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том, что банковская карта №220028хххххх1354 на </w:t>
      </w:r>
      <w:r>
        <w:rPr>
          <w:rStyle w:val="cat-FIOgrp-15rplc-3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оформлялась.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Выслушав ответчика, изучив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</w:t>
      </w:r>
      <w:hyperlink r:id="rId4" w:anchor="/document/10164072/entry/16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п.1 ст.160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ГК РФ сделка в письменной форме должна быть совершена путем составления документа, выражающего ее содержание и подписанного лицом или лицами, совершающими сделку, или должным образом уполномоченными ими лицами.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Использование при совершении сделок факсимильного воспроизведения подписи с помощью средств механического или иного копирования, электронной подписи либо иного аналога собственноручной подписи допускается в случаях и в порядке, предусмотренных законом, иными правовыми актами или соглашением сторон (п.2 ст.160 ГК РФ).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hyperlink r:id="rId4" w:anchor="/document/10164072/entry/162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п.1 ст.162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ГК РФ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показания, но не лишает их права приводить письменные и другие доказательства.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hyperlink r:id="rId4" w:anchor="/document/10164072/entry/434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п.2 ст.434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ГК РФ договор в письменной форме может быть заключен путем составления одного документа, подписанного сторонами, а также путем обмена документами посредством почтовой, телеграфной, телетайпной, телефонной, электронной или иной связи, позволяющей достоверно установить, что документ исходит от стороны по договору.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требований п.1 ст.807 ГК РФ по договору займа одна сторона (займодавец) передает или обязуется передать в собственность другой стороне (заемщику) деньги, вещи, определенные родовыми признаками, или ценные бумаги, а заемщик обязуется возвратить займодавцу такую же сумму денег (сумму займа) или равное количество полученных им вещей того же рода и качества либо таких же ценных бумаг.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Если займодавцем в договоре займа является гражданин, договор считается заключенным с момента передачи суммы займа или другого предмета договора займа заемщику или указанному им лицу.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hyperlink r:id="rId4" w:anchor="/document/12128809/entry/56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ч.1 ст.56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ГПК РФ каждая сторона, лицо, участвующие в деле, должны доказать те обстоятельства, на которые они ссылаются как на основания своих требований и возражений, если иное не предусмотрено федеральным законом.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Поскольку для возникновения обязательства по договору займа требуется фактическая передача кредитором должнику денежных средств именно на условиях договора займа, то в случае спора на кредиторе лежит обязанность доказать факт передачи должнику предмета займа и то, что между сторонами возникли отношения, регулируемые </w:t>
      </w:r>
      <w:hyperlink r:id="rId4" w:anchor="/document/10164072/entry/204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42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ГК РФ, а на заемщике - факт надлежащего исполнения обязательств по возврату займа либо безденежность займа. При наличии возражений со стороны ответчика относительно природы возникшего обязательства следует исходить из того, что заимодавец заинтересован в обеспечении надлежащих доказательств, подтверждающих заключение договора займа, и в случае возникновения спора на нем лежит риск недоказанности соответствующего факта.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следует из договора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потребительского займа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19242087-4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4rplc-3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между </w:t>
      </w:r>
      <w:r>
        <w:rPr>
          <w:rStyle w:val="cat-OrganizationNamegrp-28rplc-3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Style w:val="cat-FIOgrp-17rplc-3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заключен договор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сумма займа составила </w:t>
      </w:r>
      <w:r>
        <w:rPr>
          <w:rStyle w:val="cat-Sumgrp-20rplc-36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действия договора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момента поступления денежных средств на счет заёмщика до полного исполнения кредитором и заёмщиком своих обязательств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предусмотренных договором. Срок возврата займа 180-й день с момента передачи заёмщику денежных средств.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п.17 Договора способом получения денежных средств является перечисление на банковскую карту заёмщика 220028хххххх1354.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Договор займа заключен </w:t>
      </w:r>
      <w:r>
        <w:rPr>
          <w:rStyle w:val="cat-OrganizationNamegrp-31rplc-37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электронном виде с соблюдением простой письменной формы с использованием цифровой электронной подписи посредством использования сайта истца в сети интернет</w:t>
      </w:r>
      <w:r>
        <w:rPr>
          <w:rFonts w:ascii="Tahoma" w:eastAsia="Tahoma" w:hAnsi="Tahoma" w:cs="Tahoma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подтверждение указанных доводов истцом в материалы дела представлена копия договора займа, содержащая индивидуальные условия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указанного договора, при этом в договоре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отсутствуе</w:t>
      </w:r>
      <w:r>
        <w:rPr>
          <w:rFonts w:ascii="Times New Roman" w:eastAsia="Times New Roman" w:hAnsi="Times New Roman" w:cs="Times New Roman"/>
          <w:sz w:val="27"/>
          <w:szCs w:val="27"/>
        </w:rPr>
        <w:t>т подпись ответчика.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Разрешая спор, суд считает, что отсутствие в договоре займа подписи ответчика не позволяет суду достоверно установить волеизъявление </w:t>
      </w:r>
      <w:r>
        <w:rPr>
          <w:rStyle w:val="cat-FIOgrp-15rplc-3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заключение данного договора.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факта заключения договора в порядке, предусмотренном </w:t>
      </w:r>
      <w:hyperlink r:id="rId4" w:anchor="/document/10164072/entry/434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п.2 ст.434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ГК РФ, истец представил копию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справки </w:t>
      </w:r>
      <w:r>
        <w:rPr>
          <w:rStyle w:val="cat-OrganizationNamegrp-32rplc-3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8rplc-4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подтверждении перевода </w:t>
      </w:r>
      <w:r>
        <w:rPr>
          <w:rStyle w:val="cat-Dategrp-9rplc-4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сумме </w:t>
      </w:r>
      <w:r>
        <w:rPr>
          <w:rStyle w:val="cat-Sumgrp-20rplc-42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банковскую карту 220028хххххх1354 в МТС-Банк.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</w:t>
      </w:r>
      <w:r>
        <w:rPr>
          <w:rFonts w:ascii="Times New Roman" w:eastAsia="Times New Roman" w:hAnsi="Times New Roman" w:cs="Times New Roman"/>
          <w:sz w:val="27"/>
          <w:szCs w:val="27"/>
        </w:rPr>
        <w:t>справку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подтверждении перевода </w:t>
      </w:r>
      <w:r>
        <w:rPr>
          <w:rFonts w:ascii="Times New Roman" w:eastAsia="Times New Roman" w:hAnsi="Times New Roman" w:cs="Times New Roman"/>
          <w:sz w:val="27"/>
          <w:szCs w:val="27"/>
        </w:rPr>
        <w:t>как доказательство по делу со стороны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истца, суд учитывает, что в 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отсутствуют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том, кому перечислены денежные средств (принадлежность банковской карты), в рамках какого договора они перечислены.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представленная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истцом </w:t>
      </w:r>
      <w:r>
        <w:rPr>
          <w:rFonts w:ascii="Times New Roman" w:eastAsia="Times New Roman" w:hAnsi="Times New Roman" w:cs="Times New Roman"/>
          <w:sz w:val="27"/>
          <w:szCs w:val="27"/>
        </w:rPr>
        <w:t>справка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об</w:t>
      </w:r>
      <w:r>
        <w:rPr>
          <w:rFonts w:ascii="Times New Roman" w:eastAsia="Times New Roman" w:hAnsi="Times New Roman" w:cs="Times New Roman"/>
          <w:sz w:val="27"/>
          <w:szCs w:val="27"/>
        </w:rPr>
        <w:t>ладае</w:t>
      </w:r>
      <w:r>
        <w:rPr>
          <w:rFonts w:ascii="Times New Roman" w:eastAsia="Times New Roman" w:hAnsi="Times New Roman" w:cs="Times New Roman"/>
          <w:sz w:val="27"/>
          <w:szCs w:val="27"/>
        </w:rPr>
        <w:t>т признаками достаточности</w:t>
      </w:r>
      <w:r>
        <w:rPr>
          <w:rFonts w:ascii="Times New Roman" w:eastAsia="Times New Roman" w:hAnsi="Times New Roman" w:cs="Times New Roman"/>
          <w:sz w:val="27"/>
          <w:szCs w:val="27"/>
        </w:rPr>
        <w:t>, в связи с чем, не может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расцен</w:t>
      </w:r>
      <w:r>
        <w:rPr>
          <w:rFonts w:ascii="Times New Roman" w:eastAsia="Times New Roman" w:hAnsi="Times New Roman" w:cs="Times New Roman"/>
          <w:sz w:val="27"/>
          <w:szCs w:val="27"/>
        </w:rPr>
        <w:t>иваться судом как доказательство по делу, достаточное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для постановления решения в пользу истца.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огласно информации, представленной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запросу ответчика </w:t>
      </w:r>
      <w:r>
        <w:rPr>
          <w:rStyle w:val="cat-OrganizationNamegrp-30rplc-4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10rplc-4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имя </w:t>
      </w:r>
      <w:r>
        <w:rPr>
          <w:rStyle w:val="cat-FIOgrp-18rplc-4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банковская карта с маскированным номером 220028хххххх1354 не оформлена.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копии постановления о возбуждении уголовного дела от </w:t>
      </w:r>
      <w:r>
        <w:rPr>
          <w:rStyle w:val="cat-Dategrp-7rplc-4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Отделом дознания МО МВД России «Ханты-Мансийский» возбуждено уголовное дело №</w:t>
      </w:r>
      <w:r>
        <w:rPr>
          <w:rFonts w:ascii="Times New Roman" w:eastAsia="Times New Roman" w:hAnsi="Times New Roman" w:cs="Times New Roman"/>
          <w:sz w:val="27"/>
          <w:szCs w:val="27"/>
        </w:rPr>
        <w:t>202402175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/25 по признакам преступления, предусмотренного ч.1 ст.159 УК РФ по факту того, что </w:t>
      </w:r>
      <w:r>
        <w:rPr>
          <w:rStyle w:val="cat-Dategrp-4rplc-4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неустановленное лицо, находясь в неустановленном месте и в неустановленное время, из корыстных побуждений, путем обмана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злоупотребления доверием сотрудников </w:t>
      </w:r>
      <w:r>
        <w:rPr>
          <w:rStyle w:val="cat-OrganizationNamegrp-33rplc-4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Style w:val="cat-OrganizationNamegrp-28rplc-4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относительно оформления кредитных договоров, используя персональные данные </w:t>
      </w:r>
      <w:r>
        <w:rPr>
          <w:rStyle w:val="cat-FIOgrp-18rplc-5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право требования по которым передано </w:t>
      </w:r>
      <w:r>
        <w:rPr>
          <w:rStyle w:val="cat-OrganizationNamegrp-27rplc-51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оформило кредитные договоры: №19242087-1 от </w:t>
      </w:r>
      <w:r>
        <w:rPr>
          <w:rStyle w:val="cat-Dategrp-4rplc-5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№19242087-2 от </w:t>
      </w:r>
      <w:r>
        <w:rPr>
          <w:rStyle w:val="cat-Dategrp-4rplc-5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№19242087-3 от </w:t>
      </w:r>
      <w:r>
        <w:rPr>
          <w:rStyle w:val="cat-Dategrp-4rplc-5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№19242087-4 от </w:t>
      </w:r>
      <w:r>
        <w:rPr>
          <w:rStyle w:val="cat-Dategrp-4rplc-5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общую сумму </w:t>
      </w:r>
      <w:r>
        <w:rPr>
          <w:rStyle w:val="cat-Sumgrp-25rplc-56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распорядившись полученными денежными средствами по своему усмотрению,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причинив своими умышленными действиями </w:t>
      </w:r>
      <w:r>
        <w:rPr>
          <w:rStyle w:val="cat-OrganizationNamegrp-27rplc-57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ественный ущерб в размере </w:t>
      </w:r>
      <w:r>
        <w:rPr>
          <w:rStyle w:val="cat-Sumgrp-25rplc-5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представленные истцом доказательства не подтверждают факта заключения между </w:t>
      </w:r>
      <w:r>
        <w:rPr>
          <w:rStyle w:val="cat-OrganizationNamegrp-31rplc-5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Style w:val="cat-FIOgrp-15rplc-6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договора займа №</w:t>
      </w:r>
      <w:r>
        <w:rPr>
          <w:rFonts w:ascii="Times New Roman" w:eastAsia="Times New Roman" w:hAnsi="Times New Roman" w:cs="Times New Roman"/>
          <w:sz w:val="27"/>
          <w:szCs w:val="27"/>
        </w:rPr>
        <w:t>19242087-4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4rplc-6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факта передачи </w:t>
      </w:r>
      <w:r>
        <w:rPr>
          <w:rStyle w:val="cat-FIOgrp-15rplc-6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денежных средств как предмета займа, а также и того, что между сторонами возникли отношения, регулируемые </w:t>
      </w:r>
      <w:hyperlink r:id="rId4" w:anchor="/document/10164072/entry/204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42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ГК РФ, а поэтому оснований для удовлетворения требований истца у суда не имеется.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этой связи суд приходит к выводу об отказе в удовлетворении исковых требований </w:t>
      </w:r>
      <w:r>
        <w:rPr>
          <w:rStyle w:val="cat-OrganizationNamegrp-27rplc-6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полном объеме.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связи с отказом в удовлетворении основных требований, не подлежат удовлетворению требования о взыскании </w:t>
      </w:r>
      <w:r>
        <w:rPr>
          <w:rFonts w:ascii="Times New Roman" w:eastAsia="Times New Roman" w:hAnsi="Times New Roman" w:cs="Times New Roman"/>
          <w:sz w:val="27"/>
          <w:szCs w:val="27"/>
        </w:rPr>
        <w:t>судебных расходов.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ст.ст.194-199 ГПК РФ, мировой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отказать в удовлетворении исковых требований </w:t>
      </w:r>
      <w:r>
        <w:rPr>
          <w:rStyle w:val="cat-OrganizationNamegrp-27rplc-6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>
        <w:rPr>
          <w:rFonts w:ascii="Times New Roman" w:eastAsia="Times New Roman" w:hAnsi="Times New Roman" w:cs="Times New Roman"/>
          <w:sz w:val="28"/>
          <w:szCs w:val="28"/>
        </w:rPr>
        <w:t>9702017192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Style w:val="cat-FIOgrp-14rplc-6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6rplc-6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19242087-4 от </w:t>
      </w:r>
      <w:r>
        <w:rPr>
          <w:rStyle w:val="cat-Dategrp-4rplc-6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Ханты-Мансийский районный суд путем подачи апелляционной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№3 Ханты-Мансийского судебного района в течение месяца со дня принятия мировым судьей решения.</w:t>
      </w:r>
    </w:p>
    <w:p>
      <w:pPr>
        <w:spacing w:before="0" w:after="12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вированное решение составлено </w:t>
      </w:r>
      <w:r>
        <w:rPr>
          <w:rStyle w:val="cat-Dategrp-11rplc-6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6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7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OrganizationNamegrp-27rplc-6">
    <w:name w:val="cat-OrganizationName grp-27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OrganizationNamegrp-28rplc-8">
    <w:name w:val="cat-OrganizationName grp-28 rplc-8"/>
    <w:basedOn w:val="DefaultParagraphFont"/>
  </w:style>
  <w:style w:type="character" w:customStyle="1" w:styleId="cat-Dategrp-4rplc-9">
    <w:name w:val="cat-Date grp-4 rplc-9"/>
    <w:basedOn w:val="DefaultParagraphFont"/>
  </w:style>
  <w:style w:type="character" w:customStyle="1" w:styleId="cat-OrganizationNamegrp-27rplc-10">
    <w:name w:val="cat-OrganizationName grp-27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OrganizationNamegrp-28rplc-12">
    <w:name w:val="cat-OrganizationName grp-28 rplc-12"/>
    <w:basedOn w:val="DefaultParagraphFont"/>
  </w:style>
  <w:style w:type="character" w:customStyle="1" w:styleId="cat-Dategrp-4rplc-13">
    <w:name w:val="cat-Date grp-4 rplc-13"/>
    <w:basedOn w:val="DefaultParagraphFont"/>
  </w:style>
  <w:style w:type="character" w:customStyle="1" w:styleId="cat-Sumgrp-20rplc-14">
    <w:name w:val="cat-Sum grp-20 rplc-14"/>
    <w:basedOn w:val="DefaultParagraphFont"/>
  </w:style>
  <w:style w:type="character" w:customStyle="1" w:styleId="cat-Dategrp-5rplc-15">
    <w:name w:val="cat-Date grp-5 rplc-15"/>
    <w:basedOn w:val="DefaultParagraphFont"/>
  </w:style>
  <w:style w:type="character" w:customStyle="1" w:styleId="cat-OrganizationNamegrp-28rplc-16">
    <w:name w:val="cat-OrganizationName grp-28 rplc-16"/>
    <w:basedOn w:val="DefaultParagraphFont"/>
  </w:style>
  <w:style w:type="character" w:customStyle="1" w:styleId="cat-OrganizationNamegrp-29rplc-17">
    <w:name w:val="cat-OrganizationName grp-29 rplc-17"/>
    <w:basedOn w:val="DefaultParagraphFont"/>
  </w:style>
  <w:style w:type="character" w:customStyle="1" w:styleId="cat-OrganizationNamegrp-29rplc-18">
    <w:name w:val="cat-OrganizationName grp-29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OrganizationNamegrp-27rplc-20">
    <w:name w:val="cat-OrganizationName grp-27 rplc-20"/>
    <w:basedOn w:val="DefaultParagraphFont"/>
  </w:style>
  <w:style w:type="character" w:customStyle="1" w:styleId="cat-Sumgrp-21rplc-21">
    <w:name w:val="cat-Sum grp-21 rplc-21"/>
    <w:basedOn w:val="DefaultParagraphFont"/>
  </w:style>
  <w:style w:type="character" w:customStyle="1" w:styleId="cat-Sumgrp-20rplc-22">
    <w:name w:val="cat-Sum grp-20 rplc-22"/>
    <w:basedOn w:val="DefaultParagraphFont"/>
  </w:style>
  <w:style w:type="character" w:customStyle="1" w:styleId="cat-Sumgrp-22rplc-23">
    <w:name w:val="cat-Sum grp-22 rplc-23"/>
    <w:basedOn w:val="DefaultParagraphFont"/>
  </w:style>
  <w:style w:type="character" w:customStyle="1" w:styleId="cat-Sumgrp-21rplc-24">
    <w:name w:val="cat-Sum grp-21 rplc-24"/>
    <w:basedOn w:val="DefaultParagraphFont"/>
  </w:style>
  <w:style w:type="character" w:customStyle="1" w:styleId="cat-Sumgrp-23rplc-25">
    <w:name w:val="cat-Sum grp-23 rplc-25"/>
    <w:basedOn w:val="DefaultParagraphFont"/>
  </w:style>
  <w:style w:type="character" w:customStyle="1" w:styleId="cat-Sumgrp-24rplc-26">
    <w:name w:val="cat-Sum grp-24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OrganizationNamegrp-28rplc-28">
    <w:name w:val="cat-OrganizationName grp-28 rplc-28"/>
    <w:basedOn w:val="DefaultParagraphFont"/>
  </w:style>
  <w:style w:type="character" w:customStyle="1" w:styleId="cat-OrganizationNamegrp-28rplc-29">
    <w:name w:val="cat-OrganizationName grp-28 rplc-29"/>
    <w:basedOn w:val="DefaultParagraphFont"/>
  </w:style>
  <w:style w:type="character" w:customStyle="1" w:styleId="cat-Dategrp-7rplc-30">
    <w:name w:val="cat-Date grp-7 rplc-30"/>
    <w:basedOn w:val="DefaultParagraphFont"/>
  </w:style>
  <w:style w:type="character" w:customStyle="1" w:styleId="cat-OrganizationNamegrp-30rplc-31">
    <w:name w:val="cat-OrganizationName grp-30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Dategrp-4rplc-33">
    <w:name w:val="cat-Date grp-4 rplc-33"/>
    <w:basedOn w:val="DefaultParagraphFont"/>
  </w:style>
  <w:style w:type="character" w:customStyle="1" w:styleId="cat-OrganizationNamegrp-28rplc-34">
    <w:name w:val="cat-OrganizationName grp-28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Sumgrp-20rplc-36">
    <w:name w:val="cat-Sum grp-20 rplc-36"/>
    <w:basedOn w:val="DefaultParagraphFont"/>
  </w:style>
  <w:style w:type="character" w:customStyle="1" w:styleId="cat-OrganizationNamegrp-31rplc-37">
    <w:name w:val="cat-OrganizationName grp-31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OrganizationNamegrp-32rplc-39">
    <w:name w:val="cat-OrganizationName grp-32 rplc-39"/>
    <w:basedOn w:val="DefaultParagraphFont"/>
  </w:style>
  <w:style w:type="character" w:customStyle="1" w:styleId="cat-Dategrp-8rplc-40">
    <w:name w:val="cat-Date grp-8 rplc-40"/>
    <w:basedOn w:val="DefaultParagraphFont"/>
  </w:style>
  <w:style w:type="character" w:customStyle="1" w:styleId="cat-Dategrp-9rplc-41">
    <w:name w:val="cat-Date grp-9 rplc-41"/>
    <w:basedOn w:val="DefaultParagraphFont"/>
  </w:style>
  <w:style w:type="character" w:customStyle="1" w:styleId="cat-Sumgrp-20rplc-42">
    <w:name w:val="cat-Sum grp-20 rplc-42"/>
    <w:basedOn w:val="DefaultParagraphFont"/>
  </w:style>
  <w:style w:type="character" w:customStyle="1" w:styleId="cat-OrganizationNamegrp-30rplc-43">
    <w:name w:val="cat-OrganizationName grp-30 rplc-43"/>
    <w:basedOn w:val="DefaultParagraphFont"/>
  </w:style>
  <w:style w:type="character" w:customStyle="1" w:styleId="cat-Dategrp-10rplc-44">
    <w:name w:val="cat-Date grp-10 rplc-44"/>
    <w:basedOn w:val="DefaultParagraphFont"/>
  </w:style>
  <w:style w:type="character" w:customStyle="1" w:styleId="cat-FIOgrp-18rplc-45">
    <w:name w:val="cat-FIO grp-18 rplc-45"/>
    <w:basedOn w:val="DefaultParagraphFont"/>
  </w:style>
  <w:style w:type="character" w:customStyle="1" w:styleId="cat-Dategrp-7rplc-46">
    <w:name w:val="cat-Date grp-7 rplc-46"/>
    <w:basedOn w:val="DefaultParagraphFont"/>
  </w:style>
  <w:style w:type="character" w:customStyle="1" w:styleId="cat-Dategrp-4rplc-47">
    <w:name w:val="cat-Date grp-4 rplc-47"/>
    <w:basedOn w:val="DefaultParagraphFont"/>
  </w:style>
  <w:style w:type="character" w:customStyle="1" w:styleId="cat-OrganizationNamegrp-33rplc-48">
    <w:name w:val="cat-OrganizationName grp-33 rplc-48"/>
    <w:basedOn w:val="DefaultParagraphFont"/>
  </w:style>
  <w:style w:type="character" w:customStyle="1" w:styleId="cat-OrganizationNamegrp-28rplc-49">
    <w:name w:val="cat-OrganizationName grp-28 rplc-49"/>
    <w:basedOn w:val="DefaultParagraphFont"/>
  </w:style>
  <w:style w:type="character" w:customStyle="1" w:styleId="cat-FIOgrp-18rplc-50">
    <w:name w:val="cat-FIO grp-18 rplc-50"/>
    <w:basedOn w:val="DefaultParagraphFont"/>
  </w:style>
  <w:style w:type="character" w:customStyle="1" w:styleId="cat-OrganizationNamegrp-27rplc-51">
    <w:name w:val="cat-OrganizationName grp-27 rplc-51"/>
    <w:basedOn w:val="DefaultParagraphFont"/>
  </w:style>
  <w:style w:type="character" w:customStyle="1" w:styleId="cat-Dategrp-4rplc-52">
    <w:name w:val="cat-Date grp-4 rplc-52"/>
    <w:basedOn w:val="DefaultParagraphFont"/>
  </w:style>
  <w:style w:type="character" w:customStyle="1" w:styleId="cat-Dategrp-4rplc-53">
    <w:name w:val="cat-Date grp-4 rplc-53"/>
    <w:basedOn w:val="DefaultParagraphFont"/>
  </w:style>
  <w:style w:type="character" w:customStyle="1" w:styleId="cat-Dategrp-4rplc-54">
    <w:name w:val="cat-Date grp-4 rplc-54"/>
    <w:basedOn w:val="DefaultParagraphFont"/>
  </w:style>
  <w:style w:type="character" w:customStyle="1" w:styleId="cat-Dategrp-4rplc-55">
    <w:name w:val="cat-Date grp-4 rplc-55"/>
    <w:basedOn w:val="DefaultParagraphFont"/>
  </w:style>
  <w:style w:type="character" w:customStyle="1" w:styleId="cat-Sumgrp-25rplc-56">
    <w:name w:val="cat-Sum grp-25 rplc-56"/>
    <w:basedOn w:val="DefaultParagraphFont"/>
  </w:style>
  <w:style w:type="character" w:customStyle="1" w:styleId="cat-OrganizationNamegrp-27rplc-57">
    <w:name w:val="cat-OrganizationName grp-27 rplc-57"/>
    <w:basedOn w:val="DefaultParagraphFont"/>
  </w:style>
  <w:style w:type="character" w:customStyle="1" w:styleId="cat-Sumgrp-25rplc-58">
    <w:name w:val="cat-Sum grp-25 rplc-58"/>
    <w:basedOn w:val="DefaultParagraphFont"/>
  </w:style>
  <w:style w:type="character" w:customStyle="1" w:styleId="cat-OrganizationNamegrp-31rplc-59">
    <w:name w:val="cat-OrganizationName grp-31 rplc-59"/>
    <w:basedOn w:val="DefaultParagraphFont"/>
  </w:style>
  <w:style w:type="character" w:customStyle="1" w:styleId="cat-FIOgrp-15rplc-60">
    <w:name w:val="cat-FIO grp-15 rplc-60"/>
    <w:basedOn w:val="DefaultParagraphFont"/>
  </w:style>
  <w:style w:type="character" w:customStyle="1" w:styleId="cat-Dategrp-4rplc-61">
    <w:name w:val="cat-Date grp-4 rplc-61"/>
    <w:basedOn w:val="DefaultParagraphFont"/>
  </w:style>
  <w:style w:type="character" w:customStyle="1" w:styleId="cat-FIOgrp-15rplc-62">
    <w:name w:val="cat-FIO grp-15 rplc-62"/>
    <w:basedOn w:val="DefaultParagraphFont"/>
  </w:style>
  <w:style w:type="character" w:customStyle="1" w:styleId="cat-OrganizationNamegrp-27rplc-63">
    <w:name w:val="cat-OrganizationName grp-27 rplc-63"/>
    <w:basedOn w:val="DefaultParagraphFont"/>
  </w:style>
  <w:style w:type="character" w:customStyle="1" w:styleId="cat-OrganizationNamegrp-27rplc-64">
    <w:name w:val="cat-OrganizationName grp-27 rplc-64"/>
    <w:basedOn w:val="DefaultParagraphFont"/>
  </w:style>
  <w:style w:type="character" w:customStyle="1" w:styleId="cat-FIOgrp-14rplc-65">
    <w:name w:val="cat-FIO grp-14 rplc-65"/>
    <w:basedOn w:val="DefaultParagraphFont"/>
  </w:style>
  <w:style w:type="character" w:customStyle="1" w:styleId="cat-PassportDatagrp-26rplc-66">
    <w:name w:val="cat-PassportData grp-26 rplc-66"/>
    <w:basedOn w:val="DefaultParagraphFont"/>
  </w:style>
  <w:style w:type="character" w:customStyle="1" w:styleId="cat-Dategrp-4rplc-67">
    <w:name w:val="cat-Date grp-4 rplc-67"/>
    <w:basedOn w:val="DefaultParagraphFont"/>
  </w:style>
  <w:style w:type="character" w:customStyle="1" w:styleId="cat-Dategrp-11rplc-68">
    <w:name w:val="cat-Date grp-11 rplc-68"/>
    <w:basedOn w:val="DefaultParagraphFont"/>
  </w:style>
  <w:style w:type="character" w:customStyle="1" w:styleId="cat-FIOgrp-19rplc-69">
    <w:name w:val="cat-FIO grp-19 rplc-69"/>
    <w:basedOn w:val="DefaultParagraphFont"/>
  </w:style>
  <w:style w:type="character" w:customStyle="1" w:styleId="cat-FIOgrp-19rplc-70">
    <w:name w:val="cat-FIO grp-19 rplc-7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