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5D1F7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02059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</w:t>
      </w:r>
      <w:r w:rsidR="002751AE">
        <w:rPr>
          <w:b w:val="0"/>
          <w:color w:val="000099"/>
          <w:sz w:val="24"/>
        </w:rPr>
        <w:t>41</w:t>
      </w:r>
      <w:r w:rsidR="00020591">
        <w:rPr>
          <w:b w:val="0"/>
          <w:color w:val="000099"/>
          <w:sz w:val="24"/>
        </w:rPr>
        <w:t>6</w:t>
      </w:r>
      <w:r w:rsidR="002751AE">
        <w:rPr>
          <w:b w:val="0"/>
          <w:color w:val="000099"/>
          <w:sz w:val="24"/>
        </w:rPr>
        <w:t>-</w:t>
      </w:r>
      <w:r w:rsidR="00020591">
        <w:rPr>
          <w:b w:val="0"/>
          <w:color w:val="000099"/>
          <w:sz w:val="24"/>
        </w:rPr>
        <w:t>11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643EB1">
        <w:rPr>
          <w:rFonts w:ascii="Times New Roman CYR" w:hAnsi="Times New Roman CYR" w:cs="Times New Roman CYR"/>
          <w:color w:val="0000CC"/>
          <w:sz w:val="28"/>
          <w:szCs w:val="28"/>
        </w:rPr>
        <w:t>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Пузанова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Станислава Егоровича, </w:t>
      </w:r>
      <w:r w:rsidR="005B060A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2059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020591">
        <w:rPr>
          <w:rFonts w:ascii="Times New Roman CYR" w:hAnsi="Times New Roman CYR" w:cs="Times New Roman CYR"/>
          <w:color w:val="000099"/>
          <w:sz w:val="28"/>
          <w:szCs w:val="28"/>
        </w:rPr>
        <w:t>Пионерная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20591">
        <w:rPr>
          <w:rFonts w:ascii="Times New Roman CYR" w:hAnsi="Times New Roman CYR" w:cs="Times New Roman CYR"/>
          <w:color w:val="000099"/>
          <w:sz w:val="26"/>
          <w:szCs w:val="26"/>
        </w:rPr>
        <w:t>Пузанова</w:t>
      </w:r>
      <w:r w:rsidR="00020591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Станислава Егоровича</w:t>
      </w:r>
      <w:r w:rsidRPr="00796665" w:rsidR="000205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Пузанова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Станислава Егоровича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ED5652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2059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5B060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060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0591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51AE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060A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1F74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5652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