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B51BCD">
        <w:rPr>
          <w:color w:val="auto"/>
          <w:sz w:val="28"/>
        </w:rPr>
        <w:t>1175</w:t>
      </w:r>
      <w:r w:rsidR="00B25495">
        <w:rPr>
          <w:color w:val="auto"/>
          <w:sz w:val="28"/>
        </w:rPr>
        <w:t>-2202</w:t>
      </w:r>
      <w:r w:rsidRPr="006316C8">
        <w:rPr>
          <w:color w:val="auto"/>
          <w:sz w:val="28"/>
        </w:rPr>
        <w:t>/2024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B51BCD" w:rsidR="00B51BCD">
        <w:rPr>
          <w:color w:val="auto"/>
          <w:sz w:val="28"/>
        </w:rPr>
        <w:t>86MS0053-01-2024-008620-37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B51BCD">
        <w:rPr>
          <w:sz w:val="28"/>
        </w:rPr>
        <w:t>02 октября</w:t>
      </w:r>
      <w:r w:rsidRPr="00342B1C" w:rsidR="00342B1C">
        <w:rPr>
          <w:sz w:val="28"/>
        </w:rPr>
        <w:t xml:space="preserve"> 2024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B51BCD">
        <w:rPr>
          <w:sz w:val="28"/>
        </w:rPr>
        <w:t>Анкина Юрия Васильевича</w:t>
      </w:r>
      <w:r w:rsidR="008C5365">
        <w:rPr>
          <w:sz w:val="28"/>
        </w:rPr>
        <w:t xml:space="preserve">, </w:t>
      </w:r>
      <w:r w:rsidR="00B36680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B36680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B36680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 и проживающего по адресу: ХМАО-Югра </w:t>
      </w:r>
      <w:r w:rsidR="00B36680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12</w:t>
      </w:r>
      <w:r w:rsidR="00DC3D0D">
        <w:rPr>
          <w:sz w:val="28"/>
        </w:rPr>
        <w:t>.09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36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59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Анкин Ю.В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B36680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B25495" w:rsidRPr="00B25495" w:rsidP="00B2549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Анкин Ю.В</w:t>
      </w:r>
      <w:r w:rsidR="00B45D2A">
        <w:rPr>
          <w:color w:val="auto"/>
          <w:sz w:val="28"/>
          <w:szCs w:val="28"/>
        </w:rPr>
        <w:t xml:space="preserve">. </w:t>
      </w:r>
      <w:r w:rsidR="00DC3D0D">
        <w:rPr>
          <w:sz w:val="28"/>
          <w:szCs w:val="28"/>
        </w:rPr>
        <w:t>в судебное заседание не явился, извещен надлежащим образом</w:t>
      </w:r>
      <w:r w:rsidRPr="00B25495">
        <w:rPr>
          <w:color w:val="auto"/>
          <w:sz w:val="28"/>
          <w:szCs w:val="28"/>
        </w:rPr>
        <w:t>.</w:t>
      </w:r>
    </w:p>
    <w:p w:rsidR="00B25495" w:rsidRPr="00B25495" w:rsidP="00FC76AE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B25495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B51BCD">
        <w:rPr>
          <w:sz w:val="28"/>
        </w:rPr>
        <w:t>Анкина Ю.В</w:t>
      </w:r>
      <w:r w:rsidRPr="00B25495">
        <w:rPr>
          <w:color w:val="auto"/>
          <w:sz w:val="28"/>
          <w:szCs w:val="28"/>
        </w:rPr>
        <w:t>.</w:t>
      </w:r>
    </w:p>
    <w:p w:rsidR="00827E27" w:rsidP="00B25495">
      <w:pPr>
        <w:pStyle w:val="BodyText"/>
        <w:ind w:left="-142" w:right="282" w:firstLine="708"/>
        <w:rPr>
          <w:sz w:val="28"/>
        </w:rPr>
      </w:pPr>
      <w:r w:rsidRPr="00B25495">
        <w:rPr>
          <w:color w:val="auto"/>
          <w:sz w:val="28"/>
          <w:szCs w:val="28"/>
        </w:rPr>
        <w:t xml:space="preserve">Исследовав материалы дела, мировой судья находит </w:t>
      </w:r>
      <w:r w:rsidRPr="00B25495">
        <w:rPr>
          <w:color w:val="auto"/>
          <w:sz w:val="28"/>
          <w:szCs w:val="28"/>
        </w:rPr>
        <w:t>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</w:t>
      </w:r>
      <w:r>
        <w:rPr>
          <w:sz w:val="28"/>
        </w:rPr>
        <w:t>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</w:t>
      </w:r>
      <w:r>
        <w:rPr>
          <w:sz w:val="28"/>
        </w:rPr>
        <w:t>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</w:t>
      </w:r>
      <w:r>
        <w:rPr>
          <w:sz w:val="28"/>
        </w:rPr>
        <w:t xml:space="preserve">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</w:t>
      </w:r>
      <w:r>
        <w:rPr>
          <w:sz w:val="28"/>
        </w:rPr>
        <w:t>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>
        <w:rPr>
          <w:sz w:val="28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</w:t>
      </w:r>
      <w:r>
        <w:rPr>
          <w:sz w:val="28"/>
        </w:rPr>
        <w:t>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B51BCD">
        <w:rPr>
          <w:sz w:val="28"/>
        </w:rPr>
        <w:t>Анкине Ю.В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</w:t>
      </w:r>
      <w:r>
        <w:rPr>
          <w:sz w:val="28"/>
        </w:rPr>
        <w:t>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B51BCD">
        <w:rPr>
          <w:sz w:val="28"/>
        </w:rPr>
        <w:t>Анкина Ю.В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</w:t>
      </w:r>
      <w:r>
        <w:rPr>
          <w:sz w:val="28"/>
        </w:rPr>
        <w:t>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B51BCD">
        <w:rPr>
          <w:sz w:val="28"/>
        </w:rPr>
        <w:t>604234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B51BCD">
        <w:rPr>
          <w:sz w:val="28"/>
        </w:rPr>
        <w:t>12</w:t>
      </w:r>
      <w:r w:rsidR="00DC3D0D">
        <w:rPr>
          <w:sz w:val="28"/>
        </w:rPr>
        <w:t>.09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Pr="00B51BCD" w:rsidR="00B51BCD">
        <w:rPr>
          <w:sz w:val="28"/>
        </w:rPr>
        <w:t>Анкин</w:t>
      </w:r>
      <w:r w:rsidR="00B51BCD">
        <w:rPr>
          <w:sz w:val="28"/>
        </w:rPr>
        <w:t>ым</w:t>
      </w:r>
      <w:r w:rsidRPr="00B51BCD" w:rsidR="00B51BCD">
        <w:rPr>
          <w:sz w:val="28"/>
        </w:rPr>
        <w:t xml:space="preserve"> Ю.В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схемой места совершения </w:t>
      </w:r>
      <w:r w:rsidRPr="001D47F1">
        <w:rPr>
          <w:sz w:val="28"/>
        </w:rPr>
        <w:t>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B51BCD">
        <w:rPr>
          <w:sz w:val="28"/>
        </w:rPr>
        <w:t>12</w:t>
      </w:r>
      <w:r w:rsidR="006316C8">
        <w:rPr>
          <w:sz w:val="28"/>
        </w:rPr>
        <w:t>.</w:t>
      </w:r>
      <w:r w:rsidR="00DC3D0D">
        <w:rPr>
          <w:sz w:val="28"/>
        </w:rPr>
        <w:t>09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B51BCD">
        <w:rPr>
          <w:sz w:val="28"/>
        </w:rPr>
        <w:t>Анкина Ю.В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соглас</w:t>
      </w:r>
      <w:r w:rsidR="00E02575">
        <w:rPr>
          <w:sz w:val="28"/>
        </w:rPr>
        <w:t>но,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B51BCD">
        <w:rPr>
          <w:sz w:val="28"/>
        </w:rPr>
        <w:t>57-60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B36680">
        <w:rPr>
          <w:sz w:val="28"/>
          <w:szCs w:val="28"/>
        </w:rPr>
        <w:t>*</w:t>
      </w:r>
      <w:r w:rsidRPr="00B51BCD" w:rsidR="00B51BCD">
        <w:rPr>
          <w:sz w:val="28"/>
          <w:szCs w:val="28"/>
        </w:rPr>
        <w:t xml:space="preserve"> 59</w:t>
      </w:r>
      <w:r w:rsidR="00B2549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 xml:space="preserve">в зоне </w:t>
      </w:r>
      <w:r w:rsidRPr="0003286E" w:rsidR="0003286E">
        <w:rPr>
          <w:sz w:val="28"/>
        </w:rPr>
        <w:t>действия знака 3.20 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>
        <w:rPr>
          <w:sz w:val="28"/>
          <w:szCs w:val="28"/>
        </w:rPr>
        <w:t>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</w:t>
      </w:r>
      <w:r w:rsidRPr="006D3E25">
        <w:rPr>
          <w:sz w:val="28"/>
          <w:szCs w:val="28"/>
        </w:rPr>
        <w:t xml:space="preserve">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</w:t>
      </w:r>
      <w:r>
        <w:rPr>
          <w:sz w:val="28"/>
        </w:rPr>
        <w:t>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B51BCD">
        <w:rPr>
          <w:sz w:val="28"/>
        </w:rPr>
        <w:t>Анкину Ю.В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</w:t>
      </w:r>
      <w:r w:rsidRPr="007066CB">
        <w:rPr>
          <w:sz w:val="28"/>
          <w:szCs w:val="28"/>
        </w:rPr>
        <w:t xml:space="preserve">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</w:t>
      </w:r>
      <w:r>
        <w:rPr>
          <w:sz w:val="28"/>
          <w:szCs w:val="28"/>
        </w:rPr>
        <w:t>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Анкина Юрия Васильевича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</w:t>
      </w:r>
      <w:r w:rsidRPr="006B4476">
        <w:rPr>
          <w:sz w:val="28"/>
        </w:rPr>
        <w:t xml:space="preserve">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</w:t>
      </w:r>
      <w:r w:rsidRPr="006B4476">
        <w:rPr>
          <w:sz w:val="28"/>
        </w:rPr>
        <w:t>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EC6EF1">
        <w:rPr>
          <w:color w:val="auto"/>
          <w:sz w:val="28"/>
        </w:rPr>
        <w:t>4</w:t>
      </w:r>
      <w:r w:rsidR="00DC3D0D">
        <w:rPr>
          <w:color w:val="auto"/>
          <w:sz w:val="28"/>
        </w:rPr>
        <w:t>2</w:t>
      </w:r>
      <w:r w:rsidR="00B51BCD">
        <w:rPr>
          <w:color w:val="auto"/>
          <w:sz w:val="28"/>
        </w:rPr>
        <w:t>14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</w:t>
      </w:r>
      <w:r>
        <w:rPr>
          <w:sz w:val="28"/>
        </w:rPr>
        <w:t xml:space="preserve">иях, </w:t>
      </w:r>
      <w:r w:rsidR="00FD1962">
        <w:rPr>
          <w:sz w:val="28"/>
        </w:rPr>
        <w:t>а</w:t>
      </w:r>
      <w:r>
        <w:rPr>
          <w:color w:val="22272F"/>
          <w:sz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color w:val="22272F"/>
          <w:sz w:val="28"/>
        </w:rPr>
        <w:t>шестидесяти дней со дня вступления постановления о наложении административного штрафа в законную силу, за исключением случае</w:t>
      </w:r>
      <w:r>
        <w:rPr>
          <w:color w:val="22272F"/>
          <w:sz w:val="28"/>
        </w:rPr>
        <w:t>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</w:t>
      </w:r>
      <w:r w:rsidRPr="006B4476">
        <w:rPr>
          <w:color w:val="auto"/>
          <w:sz w:val="28"/>
        </w:rPr>
        <w:t>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>,</w:t>
      </w:r>
      <w:r>
        <w:rPr>
          <w:rFonts w:ascii="Roboto" w:hAnsi="Roboto"/>
          <w:sz w:val="28"/>
        </w:rPr>
        <w:t xml:space="preserve">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</w:t>
      </w:r>
      <w:r>
        <w:rPr>
          <w:rFonts w:ascii="Roboto" w:hAnsi="Roboto"/>
          <w:sz w:val="28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</w:t>
      </w:r>
      <w:r>
        <w:rPr>
          <w:rFonts w:ascii="Roboto" w:hAnsi="Roboto"/>
          <w:sz w:val="28"/>
        </w:rPr>
        <w:t>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</w:t>
      </w:r>
      <w:r>
        <w:rPr>
          <w:rFonts w:ascii="Roboto" w:hAnsi="Roboto"/>
          <w:sz w:val="28"/>
        </w:rPr>
        <w:t xml:space="preserve">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</w:t>
      </w:r>
      <w:r>
        <w:rPr>
          <w:rFonts w:ascii="Roboto" w:hAnsi="Roboto"/>
          <w:sz w:val="28"/>
        </w:rPr>
        <w:t>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</w:t>
      </w:r>
      <w:r>
        <w:rPr>
          <w:sz w:val="28"/>
        </w:rPr>
        <w:t xml:space="preserve">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</w:t>
      </w:r>
      <w:r>
        <w:rPr>
          <w:sz w:val="28"/>
        </w:rPr>
        <w:t>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9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36680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9414E"/>
    <w:rsid w:val="009C2595"/>
    <w:rsid w:val="00A01454"/>
    <w:rsid w:val="00A063A2"/>
    <w:rsid w:val="00A272E0"/>
    <w:rsid w:val="00A60E5F"/>
    <w:rsid w:val="00A972BE"/>
    <w:rsid w:val="00B25495"/>
    <w:rsid w:val="00B36680"/>
    <w:rsid w:val="00B45D2A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152D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C76AE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