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1145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widowControl w:val="0"/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86MS0061-01-2025-005294-04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</w:t>
      </w:r>
      <w:r>
        <w:rPr>
          <w:rFonts w:ascii="Times New Roman" w:eastAsia="Times New Roman" w:hAnsi="Times New Roman" w:cs="Times New Roman"/>
          <w:sz w:val="27"/>
          <w:szCs w:val="27"/>
        </w:rPr>
        <w:t>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 9 каб.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Погоришного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Погоришный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ОСНОВА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Производственная д.5/1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нспекцию </w:t>
      </w:r>
      <w:r>
        <w:rPr>
          <w:rFonts w:ascii="Times New Roman" w:eastAsia="Times New Roman" w:hAnsi="Times New Roman" w:cs="Times New Roman"/>
          <w:sz w:val="27"/>
          <w:szCs w:val="27"/>
        </w:rPr>
        <w:t>ФНС России по г. Сургуту,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Погоришный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</w:t>
      </w:r>
      <w:r>
        <w:rPr>
          <w:rFonts w:ascii="Times New Roman" w:eastAsia="Times New Roman" w:hAnsi="Times New Roman" w:cs="Times New Roman"/>
          <w:sz w:val="27"/>
          <w:szCs w:val="27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Погоришного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суду представлены 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документы: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26325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ОСНОВА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25.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ОСНОВА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Погоришный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7"/>
          <w:szCs w:val="27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Погоришного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 15.5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4.3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 изложенного,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Погоришного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1145-2606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