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05-0795/2605/2025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09.07.2025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мирового судьи судебного участка № 5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203,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№ 05-0795/2605/2025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должностного лица – директора </w:t>
      </w:r>
      <w:r>
        <w:rPr>
          <w:rStyle w:val="cat-OrganizationNamegrp-24rplc-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Норбоева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Муродали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Акбаралиевича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2rplc-8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9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гражданина Российской Федерации, зарегистрированного и проживающего по адресу: </w:t>
      </w:r>
      <w:r>
        <w:rPr>
          <w:rStyle w:val="cat-UserDefinedgrp-30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3rplc-15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25.03.2025 должностное лицо – директор </w:t>
      </w:r>
      <w:r>
        <w:rPr>
          <w:rStyle w:val="cat-OrganizationNamegrp-24rplc-19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Норбоев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Муродали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Акбаралиевич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23, п. 1 ст. 346.23 Налогового кодекса Российской Федерации, в Инспекцию ФНС России по г. Сургуту, в установленный срок не предоставил декларацию по упрощенной системе налогообложения за 2024 год, срок представления декларации по упрощенной системе налогообложения не позднее 25 марта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года, тем самым должностным лицом совершено административное правонарушение, за которое предусмотрена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Норбоев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Муродали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Акбаралиевич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времени и месте судебного заседания извещен надлежащим образом,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Style w:val="cat-UserDefinedgrp-31rplc-2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п.1 ст. 346.23 НК РФ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25 марта года, следующего за истекшим налоговым периодом (за исключением случаев, предусмотренных пунктами 2 и 3 настоящей статьи).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протоколом об административном правонарушении № 34155 от 26.05.2025, в котором изложено существо правонарушения и составленным в соответствии с требованиями КоАП РФ;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выпиской из Единого государственного реестра юридических лиц;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справкой об отсутствии декларации к установленному сроку;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прихожу к выводу о том, что действия должностного лица директора </w:t>
      </w:r>
      <w:r>
        <w:rPr>
          <w:rStyle w:val="cat-OrganizationNamegrp-24rplc-32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Норбоева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Муродали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Акбаралиевича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наказания, учитывая общественную опасность деяния, характер совершенного правонарушения, личность нарушителя, считаю возможным назначить административное наказание в виде штрафа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– директора </w:t>
      </w:r>
      <w:r>
        <w:rPr>
          <w:rStyle w:val="cat-OrganizationNamegrp-24rplc-3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Норбоева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Муродали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Акбаралиевича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городской суд Ханты – Мансийского автономного округа – Югры в течение десяти дней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Е.Н. Конева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Е.Н. Конева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09.07.2025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Подлинный документ хранится в деле № </w:t>
      </w:r>
      <w:r>
        <w:rPr>
          <w:rFonts w:ascii="Times New Roman" w:eastAsia="Times New Roman" w:hAnsi="Times New Roman" w:cs="Times New Roman"/>
          <w:sz w:val="25"/>
          <w:szCs w:val="25"/>
        </w:rPr>
        <w:t>05-0795/2605/2025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Судебный акт не вступил в законную силу по состоянию на </w:t>
      </w:r>
      <w:r>
        <w:rPr>
          <w:rFonts w:ascii="Times New Roman" w:eastAsia="Times New Roman" w:hAnsi="Times New Roman" w:cs="Times New Roman"/>
          <w:sz w:val="25"/>
          <w:szCs w:val="25"/>
        </w:rPr>
        <w:t>09.07.2025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по реквизитам: согласно извещению (форма № ПД-4 </w:t>
      </w:r>
      <w:r>
        <w:rPr>
          <w:rFonts w:ascii="Times New Roman" w:eastAsia="Times New Roman" w:hAnsi="Times New Roman" w:cs="Times New Roman"/>
        </w:rPr>
        <w:t>сб</w:t>
      </w:r>
      <w:r>
        <w:rPr>
          <w:rFonts w:ascii="Times New Roman" w:eastAsia="Times New Roman" w:hAnsi="Times New Roman" w:cs="Times New Roman"/>
        </w:rPr>
        <w:t xml:space="preserve"> (налог)) приложение к постановлению.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</w:t>
      </w:r>
      <w:r>
        <w:rPr>
          <w:rFonts w:ascii="Times New Roman" w:eastAsia="Times New Roman" w:hAnsi="Times New Roman" w:cs="Times New Roman"/>
        </w:rPr>
        <w:t>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160" w:line="257" w:lineRule="auto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Копию квитанции об оплате административного штрафа необходимо представить по адресу: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214.</w:t>
      </w:r>
    </w:p>
    <w:p>
      <w:pPr>
        <w:spacing w:before="0" w:after="0"/>
        <w:jc w:val="both"/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http://sr-srg-pkms1/xlp5/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OrganizationNamegrp-24rplc-5">
    <w:name w:val="cat-OrganizationName grp-24 rplc-5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30rplc-12">
    <w:name w:val="cat-UserDefined grp-30 rplc-12"/>
    <w:basedOn w:val="DefaultParagraphFont"/>
  </w:style>
  <w:style w:type="character" w:customStyle="1" w:styleId="cat-PassportDatagrp-23rplc-15">
    <w:name w:val="cat-PassportData grp-23 rplc-15"/>
    <w:basedOn w:val="DefaultParagraphFont"/>
  </w:style>
  <w:style w:type="character" w:customStyle="1" w:styleId="cat-OrganizationNamegrp-24rplc-19">
    <w:name w:val="cat-OrganizationName grp-24 rplc-19"/>
    <w:basedOn w:val="DefaultParagraphFont"/>
  </w:style>
  <w:style w:type="character" w:customStyle="1" w:styleId="cat-UserDefinedgrp-31rplc-28">
    <w:name w:val="cat-UserDefined grp-31 rplc-28"/>
    <w:basedOn w:val="DefaultParagraphFont"/>
  </w:style>
  <w:style w:type="character" w:customStyle="1" w:styleId="cat-OrganizationNamegrp-24rplc-32">
    <w:name w:val="cat-OrganizationName grp-24 rplc-32"/>
    <w:basedOn w:val="DefaultParagraphFont"/>
  </w:style>
  <w:style w:type="character" w:customStyle="1" w:styleId="cat-OrganizationNamegrp-24rplc-34">
    <w:name w:val="cat-OrganizationName grp-24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