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0750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28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 Зиннурова Т.И.,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Тюменская область, г. Сургут, ул. Гагарина, д. 9, каб. </w:t>
      </w:r>
      <w:r>
        <w:rPr>
          <w:rFonts w:ascii="Times New Roman" w:eastAsia="Times New Roman" w:hAnsi="Times New Roman" w:cs="Times New Roman"/>
          <w:sz w:val="28"/>
          <w:szCs w:val="28"/>
        </w:rPr>
        <w:t>509,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 в отношении которого ведется производство по делу об административном правонарушении Гусейнова Н.Ф.о.,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частью 3 статьи 14.16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Намига Фахраддина 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привлекавшегося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в магазине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Продукты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оженном по адресу: </w:t>
      </w:r>
      <w:r>
        <w:rPr>
          <w:rStyle w:val="cat-UserDefinedgrp-4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индивидуальным предпринимателем без образования юридического лица, допустил реализацию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бутыл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Жатецкий Гусь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объемом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0.45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содержанием алк. </w:t>
      </w:r>
      <w:r>
        <w:rPr>
          <w:rFonts w:ascii="Times New Roman" w:eastAsia="Times New Roman" w:hAnsi="Times New Roman" w:cs="Times New Roman"/>
          <w:sz w:val="28"/>
          <w:szCs w:val="28"/>
        </w:rPr>
        <w:t>4,6</w:t>
      </w:r>
      <w:r>
        <w:rPr>
          <w:rFonts w:ascii="Times New Roman" w:eastAsia="Times New Roman" w:hAnsi="Times New Roman" w:cs="Times New Roman"/>
          <w:sz w:val="28"/>
          <w:szCs w:val="28"/>
        </w:rPr>
        <w:t>%,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осле 20 часов 00 минут, в нарушение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ФЗ № 171 от 22.11.1995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от 16 июня 2016 г.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 Н.Ф.о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 вину в совершенном правонарушении признал, ходатайств не заявлял.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</w:rPr>
        <w:t>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от 22 ноября 1995 г.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органы государственной власти субъектов Российской Федерации вправе устанавливать дополнительные ограничения времени, условий и мест розничной продажи алкогольной продукции, в том числе полный запрет на розничную продажу алкогольной продукции.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 4 закона ХМАО - Югры от 16.06.2016 № 46-ОЗ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осуществляемой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Гусейновым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386438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УУП ОП-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фототаблицей;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объяснениями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данными 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данными 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свидетельства о постановке на учет физического лица в налоговом органе;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физическое лицо;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 материалами дела.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оценены судом в соответствии с правилами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</w:t>
      </w:r>
      <w:r>
        <w:rPr>
          <w:rFonts w:ascii="Times New Roman" w:eastAsia="Times New Roman" w:hAnsi="Times New Roman" w:cs="Times New Roman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14.16 КоАП РФ, то есть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особых требований и правил розничной продажи алкогольной и спиртосодержащей продукции.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суд, в соответствии с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 административную ответственность суд учитывает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исключающие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и указанные в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24.5 КоАП РФ, а также обс</w:t>
      </w:r>
      <w:r>
        <w:rPr>
          <w:rFonts w:ascii="Times New Roman" w:eastAsia="Times New Roman" w:hAnsi="Times New Roman" w:cs="Times New Roman"/>
          <w:sz w:val="28"/>
          <w:szCs w:val="28"/>
        </w:rPr>
        <w:t>тоятельства, предусмотренные статьей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29.2 КоАП РФ, исключающие возможность рассмотрения дела, не установлены.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</w:t>
      </w:r>
      <w:r>
        <w:rPr>
          <w:rFonts w:ascii="Times New Roman" w:eastAsia="Times New Roman" w:hAnsi="Times New Roman" w:cs="Times New Roman"/>
          <w:sz w:val="28"/>
          <w:szCs w:val="28"/>
        </w:rPr>
        <w:t>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индивидуальному предпринимателю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Гусейнову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 назначается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положения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2.4 КоАП РФ, согласно которой лица, осуществляющие предпринимательскую деятельность без образования юридического лица, несут административную ответственность как должностные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Гусейнова Н.Ф.о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 с конфискацией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алкогольной продукции, поскольку указанный вид наказания является в данном случае справедливым и соразмерным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Гусейнова Намига Фахраддина оглы,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14.16 КоАП РФ и 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(двадцати тысяч)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конфискаци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100 00140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0412365400605007502514110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  <w:r>
        <w:rPr>
          <w:rFonts w:ascii="Times New Roman" w:eastAsia="Times New Roman" w:hAnsi="Times New Roman" w:cs="Times New Roman"/>
          <w:sz w:val="28"/>
          <w:szCs w:val="28"/>
        </w:rPr>
        <w:t>«28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Т.И. Зиннурова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по адресу: г. Сургу</w:t>
      </w:r>
      <w:r>
        <w:rPr>
          <w:rFonts w:ascii="Times New Roman" w:eastAsia="Times New Roman" w:hAnsi="Times New Roman" w:cs="Times New Roman"/>
          <w:sz w:val="28"/>
          <w:szCs w:val="28"/>
        </w:rPr>
        <w:t>т, ул. Гагарина, дом 9, каб. 106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 электронную почту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Surgut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5@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mirsud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86.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4rplc-34">
    <w:name w:val="cat-UserDefined grp-4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