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17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ч. 2 ст. 7.27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Косьяненко Павла Евгеньевича, 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женатого, зарегистрированного по адресу: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25.01.2025 года в 13 часов 15 минут, Косьяненко П.Е., умышленно, тайно, путем свободного доступа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похитил </w:t>
      </w:r>
      <w:r>
        <w:rPr>
          <w:rFonts w:ascii="Times New Roman" w:eastAsia="Times New Roman" w:hAnsi="Times New Roman" w:cs="Times New Roman"/>
        </w:rPr>
        <w:t xml:space="preserve">из магазина «Красное Белое», расположенного по адресу: ул. </w:t>
      </w:r>
      <w:r>
        <w:rPr>
          <w:rFonts w:ascii="Times New Roman" w:eastAsia="Times New Roman" w:hAnsi="Times New Roman" w:cs="Times New Roman"/>
        </w:rPr>
        <w:t>Кушникова</w:t>
      </w:r>
      <w:r>
        <w:rPr>
          <w:rFonts w:ascii="Times New Roman" w:eastAsia="Times New Roman" w:hAnsi="Times New Roman" w:cs="Times New Roman"/>
        </w:rPr>
        <w:t xml:space="preserve"> д.76А, п. Белый Яр, Сургутского района, одну бутылку виски «</w:t>
      </w:r>
      <w:r>
        <w:rPr>
          <w:rFonts w:ascii="Times New Roman" w:eastAsia="Times New Roman" w:hAnsi="Times New Roman" w:cs="Times New Roman"/>
        </w:rPr>
        <w:t>Наки</w:t>
      </w:r>
      <w:r>
        <w:rPr>
          <w:rFonts w:ascii="Times New Roman" w:eastAsia="Times New Roman" w:hAnsi="Times New Roman" w:cs="Times New Roman"/>
        </w:rPr>
        <w:t xml:space="preserve"> Томпсон»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объемом 0,7 литра,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1039</w:t>
      </w:r>
      <w:r>
        <w:rPr>
          <w:rFonts w:ascii="Times New Roman" w:eastAsia="Times New Roman" w:hAnsi="Times New Roman" w:cs="Times New Roman"/>
        </w:rPr>
        <w:t xml:space="preserve"> рублей 00 копеек, причинив тем самым </w:t>
      </w:r>
      <w:r>
        <w:rPr>
          <w:rFonts w:ascii="Times New Roman" w:eastAsia="Times New Roman" w:hAnsi="Times New Roman" w:cs="Times New Roman"/>
        </w:rPr>
        <w:t xml:space="preserve">ООО «Альфа-М» </w:t>
      </w:r>
      <w:r>
        <w:rPr>
          <w:rFonts w:ascii="Times New Roman" w:eastAsia="Times New Roman" w:hAnsi="Times New Roman" w:cs="Times New Roman"/>
        </w:rPr>
        <w:t>незначительный материальный ущерб, при отсутствии признаков преступления, предусмотренных частями 2, 3, 4 статьи 158 УК РФ, статьей 158.1 УК РФ, частями 2, 3, 4 статьи 159 УК РФ, частями 2, 3, 4 статьи 159.1 УК РФ, частями 2, 3, 4 статьи 159.2 УК РФ, частями 2, 3, 4 статьи 159.3 УК РФ, частями 2, 3, 4 статьи 159.5 УК РФ, частями 2, 3, 4 статьи 159.6 УК РФ, частями 2, 3 статьи 160 УК РФ.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Косьяненко П.Е.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ч.2</w:t>
      </w:r>
      <w:r>
        <w:rPr>
          <w:rFonts w:ascii="Times New Roman" w:eastAsia="Times New Roman" w:hAnsi="Times New Roman" w:cs="Times New Roman"/>
        </w:rPr>
        <w:t xml:space="preserve"> ст. 7.27 КоАП РФ.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Административное расследование по делу не проводилось. Материалы дела об административном правонарушении переданы на рассмотрение по подсудности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Косьяненко П.Е.,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</w:rPr>
        <w:t>установлено</w:t>
      </w:r>
      <w:r>
        <w:rPr>
          <w:rFonts w:ascii="Times New Roman" w:eastAsia="Times New Roman" w:hAnsi="Times New Roman" w:cs="Times New Roman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Косьяненко П.Е.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представитель ООО «</w:t>
      </w:r>
      <w:r>
        <w:rPr>
          <w:rFonts w:ascii="Times New Roman" w:eastAsia="Times New Roman" w:hAnsi="Times New Roman" w:cs="Times New Roman"/>
        </w:rPr>
        <w:t>Альфа-М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о времени и месте рассмотрения дела извещен надлежащим образом, представил ходатайство о рассмотрении дела в </w:t>
      </w:r>
      <w:r>
        <w:rPr>
          <w:rFonts w:ascii="Times New Roman" w:eastAsia="Times New Roman" w:hAnsi="Times New Roman" w:cs="Times New Roman"/>
        </w:rPr>
        <w:t>свое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силу ст.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26.1 КоАП РФ по делу об административном правонарушении выяснению подлежат наличие события административного правонарушения, лицо, совершившее противоправные действия, виновность лица в 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правонарушения, обстоятельства смягчающие и отягчающие административную ответственность, характер и размер ущерба, обстоятельства исключающие производство по делу,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Частью 2</w:t>
      </w:r>
      <w:r>
        <w:rPr>
          <w:rFonts w:ascii="Times New Roman" w:eastAsia="Times New Roman" w:hAnsi="Times New Roman" w:cs="Times New Roman"/>
        </w:rPr>
        <w:t xml:space="preserve"> ст. 7.27 КоАП РФ предусмотрена административная ответственность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1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10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600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6003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720" w:history="1">
        <w:r>
          <w:rPr>
            <w:rFonts w:ascii="Times New Roman" w:eastAsia="Times New Roman" w:hAnsi="Times New Roman" w:cs="Times New Roman"/>
            <w:color w:val="0000EE"/>
          </w:rPr>
          <w:t>статьями 7.20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41503" w:history="1">
        <w:r>
          <w:rPr>
            <w:rFonts w:ascii="Times New Roman" w:eastAsia="Times New Roman" w:hAnsi="Times New Roman" w:cs="Times New Roman"/>
            <w:color w:val="0000EE"/>
          </w:rPr>
          <w:t>14.15.3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Объектом данного правонарушения являются отношения собственности, а непосредственным предметом посягательства выступает имущество.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правонарушения состоит в противоправных действиях, направленных на завладение чужим имуществом путем кражи, мошенничества, присвоения или растраты при отсутствии признаков преступления.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25.01.2025 года в 13 часов 15 минут, Косьяненко П.Е., умышленно, тайно, путем свободного доступа похитил из магазина «Красное Белое», расположенного по адресу: ул. </w:t>
      </w:r>
      <w:r>
        <w:rPr>
          <w:rFonts w:ascii="Times New Roman" w:eastAsia="Times New Roman" w:hAnsi="Times New Roman" w:cs="Times New Roman"/>
        </w:rPr>
        <w:t>Кушникова</w:t>
      </w:r>
      <w:r>
        <w:rPr>
          <w:rFonts w:ascii="Times New Roman" w:eastAsia="Times New Roman" w:hAnsi="Times New Roman" w:cs="Times New Roman"/>
        </w:rPr>
        <w:t xml:space="preserve"> д.76А, п. Белый Яр, Сургутского района, одну бутылку виски «</w:t>
      </w:r>
      <w:r>
        <w:rPr>
          <w:rFonts w:ascii="Times New Roman" w:eastAsia="Times New Roman" w:hAnsi="Times New Roman" w:cs="Times New Roman"/>
        </w:rPr>
        <w:t>Наки</w:t>
      </w:r>
      <w:r>
        <w:rPr>
          <w:rFonts w:ascii="Times New Roman" w:eastAsia="Times New Roman" w:hAnsi="Times New Roman" w:cs="Times New Roman"/>
        </w:rPr>
        <w:t xml:space="preserve"> Томпсон», объемом 0,7 литра, стоимостью 1039 рублей 00 копеек, причинив тем самым ООО «</w:t>
      </w:r>
      <w:r>
        <w:rPr>
          <w:rFonts w:ascii="Times New Roman" w:eastAsia="Times New Roman" w:hAnsi="Times New Roman" w:cs="Times New Roman"/>
        </w:rPr>
        <w:t>Альфа-М</w:t>
      </w:r>
      <w:r>
        <w:rPr>
          <w:rFonts w:ascii="Times New Roman" w:eastAsia="Times New Roman" w:hAnsi="Times New Roman" w:cs="Times New Roman"/>
        </w:rPr>
        <w:t>» незначительный материальный ущерб.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Указанные обстоятельства подтверждаются имеющимися в деле доказательствами: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</w:rPr>
        <w:t xml:space="preserve">Косьяненко П.Е. </w:t>
      </w:r>
      <w:r>
        <w:rPr>
          <w:rFonts w:ascii="Times New Roman" w:eastAsia="Times New Roman" w:hAnsi="Times New Roman" w:cs="Times New Roman"/>
        </w:rPr>
        <w:t xml:space="preserve">были разъяснены права, предусмотренные ст. 51 Конституции РФ, ст. 25.1 КоАП РФ, что подтверждается его подписью; </w:t>
      </w:r>
      <w:r>
        <w:rPr>
          <w:rFonts w:ascii="Times New Roman" w:eastAsia="Times New Roman" w:hAnsi="Times New Roman" w:cs="Times New Roman"/>
        </w:rPr>
        <w:t xml:space="preserve">объяснениями Косьяненко П.Е., справкой об ущербе, справкой о стоимости товара, объяснениями представителя потерпевшего, </w:t>
      </w:r>
      <w:r>
        <w:rPr>
          <w:rFonts w:ascii="Times New Roman" w:eastAsia="Times New Roman" w:hAnsi="Times New Roman" w:cs="Times New Roman"/>
        </w:rPr>
        <w:t xml:space="preserve">копией паспорта </w:t>
      </w:r>
      <w:r>
        <w:rPr>
          <w:rFonts w:ascii="Times New Roman" w:eastAsia="Times New Roman" w:hAnsi="Times New Roman" w:cs="Times New Roman"/>
        </w:rPr>
        <w:t>Косьяненко П.Е.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 другими материалами.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ходе производства по делу на основании совокупности собранных доказательств судом с достоверностью установлено, что </w:t>
      </w:r>
      <w:r>
        <w:rPr>
          <w:rFonts w:ascii="Times New Roman" w:eastAsia="Times New Roman" w:hAnsi="Times New Roman" w:cs="Times New Roman"/>
        </w:rPr>
        <w:t xml:space="preserve">Косьяненко П.Е. </w:t>
      </w:r>
      <w:r>
        <w:rPr>
          <w:rFonts w:ascii="Times New Roman" w:eastAsia="Times New Roman" w:hAnsi="Times New Roman" w:cs="Times New Roman"/>
        </w:rPr>
        <w:t xml:space="preserve">совершил мелкое хищение чужого имущества при отсутствии признаков преступления. Эти действия образуют объективную сторону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7.27 КоАП РФ.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 xml:space="preserve">Косьяненко П.Е. </w:t>
      </w:r>
      <w:r>
        <w:rPr>
          <w:rFonts w:ascii="Times New Roman" w:eastAsia="Times New Roman" w:hAnsi="Times New Roman" w:cs="Times New Roman"/>
        </w:rPr>
        <w:t xml:space="preserve">судья квалифицирует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7.27 Кодекса Российской Федерации об административных правонарушениях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1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10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600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6003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720" w:history="1">
        <w:r>
          <w:rPr>
            <w:rFonts w:ascii="Times New Roman" w:eastAsia="Times New Roman" w:hAnsi="Times New Roman" w:cs="Times New Roman"/>
            <w:color w:val="0000EE"/>
          </w:rPr>
          <w:t>статьями 7.20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41503" w:history="1">
        <w:r>
          <w:rPr>
            <w:rFonts w:ascii="Times New Roman" w:eastAsia="Times New Roman" w:hAnsi="Times New Roman" w:cs="Times New Roman"/>
            <w:color w:val="0000EE"/>
          </w:rPr>
          <w:t>14.15.3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Косьяненко П.Е.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Косьяненко П.Е.</w:t>
      </w:r>
      <w:r>
        <w:rPr>
          <w:rFonts w:ascii="Times New Roman" w:eastAsia="Times New Roman" w:hAnsi="Times New Roman" w:cs="Times New Roman"/>
        </w:rPr>
        <w:t>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Косьяненко П.Е.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</w:t>
      </w:r>
      <w:r>
        <w:rPr>
          <w:rFonts w:ascii="Times New Roman" w:eastAsia="Times New Roman" w:hAnsi="Times New Roman" w:cs="Times New Roman"/>
        </w:rPr>
        <w:t>онарушения.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Косьяненко П.Е.</w:t>
      </w:r>
      <w:r>
        <w:rPr>
          <w:rFonts w:ascii="Times New Roman" w:eastAsia="Times New Roman" w:hAnsi="Times New Roman" w:cs="Times New Roman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Косьяненко Павла Евгеньевича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</w:t>
      </w:r>
      <w:r>
        <w:rPr>
          <w:rFonts w:ascii="Times New Roman" w:eastAsia="Times New Roman" w:hAnsi="Times New Roman" w:cs="Times New Roman"/>
        </w:rPr>
        <w:t xml:space="preserve">арушения, предусмотренного ч. 2 </w:t>
      </w:r>
      <w:r>
        <w:rPr>
          <w:rFonts w:ascii="Times New Roman" w:eastAsia="Times New Roman" w:hAnsi="Times New Roman" w:cs="Times New Roman"/>
        </w:rPr>
        <w:t xml:space="preserve">ст. 7.27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 </w:t>
      </w:r>
      <w:r>
        <w:rPr>
          <w:rFonts w:ascii="Times New Roman" w:eastAsia="Times New Roman" w:hAnsi="Times New Roman" w:cs="Times New Roman"/>
        </w:rPr>
        <w:t xml:space="preserve">(трех тысяч) рублей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  <w:r>
        <w:rPr>
          <w:rFonts w:ascii="Times New Roman" w:eastAsia="Times New Roman" w:hAnsi="Times New Roman" w:cs="Times New Roman"/>
        </w:rPr>
        <w:t xml:space="preserve"> УИН: 0412365400135006992507142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4rplc-9">
    <w:name w:val="cat-UserDefined grp-3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