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618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right="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16 </w:t>
      </w:r>
      <w:r>
        <w:rPr>
          <w:rFonts w:ascii="Times New Roman" w:eastAsia="Times New Roman" w:hAnsi="Times New Roman" w:cs="Times New Roman"/>
          <w:sz w:val="26"/>
          <w:szCs w:val="26"/>
        </w:rPr>
        <w:t>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</w:p>
    <w:p>
      <w:pPr>
        <w:spacing w:before="0" w:after="0"/>
        <w:ind w:right="20"/>
        <w:jc w:val="both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(628309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Львова Игоря Юрьевича, </w:t>
      </w:r>
      <w:r>
        <w:rPr>
          <w:rStyle w:val="cat-ExternalSystemDefinedgrp-46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2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работающего генеральным директором ООО «Инкомстрой», зарегистрированного и </w:t>
      </w:r>
      <w:r>
        <w:rPr>
          <w:rStyle w:val="cat-PassportDatagrp-33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5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4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15.33.2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Львов И.Ю., являясь генеральным директором ООО «Инкомстрой», расположенного по адресу: ХМАО-Югра, г. Нефтеюганск, Проезд 5П, стр. 4/1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пп.5 п. 2, п.6 ст.11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Федерального Закона от 01.04.1996 № 27-ФЗ «Об индивидуальном (персонифицированном) учете в системе обязательного пенсионного страхования»</w:t>
      </w:r>
      <w:r>
        <w:rPr>
          <w:rFonts w:ascii="Times New Roman" w:eastAsia="Times New Roman" w:hAnsi="Times New Roman" w:cs="Times New Roman"/>
          <w:sz w:val="26"/>
          <w:szCs w:val="26"/>
        </w:rPr>
        <w:t>, несвоевременно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отдел ПУ и АСВ № 3 УПУ и АСВ ОСФР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ХМАО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ПУ по форме ЕФС-1 раздел 1, подраздел 1.1 (ГПД)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5-ти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застрахованн</w:t>
      </w:r>
      <w:r>
        <w:rPr>
          <w:rFonts w:ascii="Times New Roman" w:eastAsia="Times New Roman" w:hAnsi="Times New Roman" w:cs="Times New Roman"/>
          <w:sz w:val="26"/>
          <w:szCs w:val="26"/>
        </w:rPr>
        <w:t>ых лиц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соответствии с вышеназванной нормой данная отчетность должна быть представлена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07.04.2025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Фактически сведения представлены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09.04.2025</w:t>
      </w:r>
      <w:r>
        <w:rPr>
          <w:rFonts w:ascii="Times New Roman" w:eastAsia="Times New Roman" w:hAnsi="Times New Roman" w:cs="Times New Roman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Львов И.Ю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о причинах неявки суд не уведомил, ходатайств об отложении дела от не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поступало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№5 «О некоторых вопросах, возникающих у судов при применении КоАП РФ» и п. 14 постановления Пленума ВС РФ от 27.12.2007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Львова И.Ю</w:t>
      </w:r>
      <w:r>
        <w:rPr>
          <w:rFonts w:ascii="Times New Roman" w:eastAsia="Times New Roman" w:hAnsi="Times New Roman" w:cs="Times New Roman"/>
          <w:sz w:val="26"/>
          <w:szCs w:val="26"/>
        </w:rPr>
        <w:t>. в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Львова И.Ю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7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16.05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генеральный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Львов И.Ю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представил с нарушением установленного законодательством Российской Федерации срока сведения ПУ по форме ЕФС-1 раздел 1, подраздел 1.1 (ГПД)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выпиской из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ЕГРЮЛ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«Инкомстрой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информацией по должностному лицу организации;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уведомление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14.04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, списком внутренних почтовых отправлений,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отчетом об отслеживании отправления с почтовым </w:t>
      </w:r>
      <w:r>
        <w:rPr>
          <w:rFonts w:ascii="Times New Roman" w:eastAsia="Times New Roman" w:hAnsi="Times New Roman" w:cs="Times New Roman"/>
          <w:sz w:val="26"/>
          <w:szCs w:val="26"/>
        </w:rPr>
        <w:t>идентификатором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журнала телефонограмм, факсограмм и электронных сообщений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отчета по форме по форме ЕФС-1; обращением от </w:t>
      </w:r>
      <w:r>
        <w:rPr>
          <w:rFonts w:ascii="Times New Roman" w:eastAsia="Times New Roman" w:hAnsi="Times New Roman" w:cs="Times New Roman"/>
          <w:sz w:val="26"/>
          <w:szCs w:val="26"/>
        </w:rPr>
        <w:t>09.04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tabs>
          <w:tab w:val="left" w:pos="567"/>
          <w:tab w:val="left" w:pos="709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акт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выявлении правонарушения от </w:t>
      </w:r>
      <w:r>
        <w:rPr>
          <w:rFonts w:ascii="Times New Roman" w:eastAsia="Times New Roman" w:hAnsi="Times New Roman" w:cs="Times New Roman"/>
          <w:sz w:val="26"/>
          <w:szCs w:val="26"/>
        </w:rPr>
        <w:t>14.04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</w:t>
      </w:r>
      <w:r>
        <w:rPr>
          <w:rFonts w:ascii="Times New Roman" w:eastAsia="Times New Roman" w:hAnsi="Times New Roman" w:cs="Times New Roman"/>
          <w:sz w:val="26"/>
          <w:szCs w:val="26"/>
        </w:rPr>
        <w:t>нии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силу пп. 5 п. 2 и п. 6 ст. 11 Федерального закона от 01.04.1996 № 27-ФЗ страхователь обязан в установленный срок представлять органам Пенсионного фонда Российской Федерации следующие сведения: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договорам, сведения, предусмотренные ч.4 ст.9 Федерального закона «О дополнительных страховых взносах на накопительную пенсию и государственной поддержке формирования пенсионных накоплений».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п. 6 ст. 11 Федерального закона от 01.04.1996 № 27-ФЗ форма ЕФС – 1, раздел 1, подраздел 1.1 представляется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нарушение вышеуказанных норм, </w:t>
      </w:r>
      <w:r>
        <w:rPr>
          <w:rFonts w:ascii="Times New Roman" w:eastAsia="Times New Roman" w:hAnsi="Times New Roman" w:cs="Times New Roman"/>
          <w:sz w:val="26"/>
          <w:szCs w:val="26"/>
        </w:rPr>
        <w:t>Львов И.Ю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в установленные сроки не предоставил отчет по форме ЕФС-1, раздел 1, подраздел 1.1. Данный отчет был представлен страхователем по телекоммуникационным каналам связи </w:t>
      </w:r>
      <w:r>
        <w:rPr>
          <w:rFonts w:ascii="Times New Roman" w:eastAsia="Times New Roman" w:hAnsi="Times New Roman" w:cs="Times New Roman"/>
          <w:sz w:val="25"/>
          <w:szCs w:val="25"/>
        </w:rPr>
        <w:t>09.04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Российской Федерации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Львова И.Ю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1 ст. 15.33.2 Кодекса Российской Федерации об административных правонарушениях,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равно представление таких сведений в неполном объеме,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исключением случаев,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предусмотренных частью 2 настоящей статьи.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мировой судья учитывает характер совершенного правонарушения, личность лица, привлекаемого к административной ответственности, его имущественное положение.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предусмотренных ст. ст. 4.2, 4.3 Кодекса Российской Федерации об административных правонарушениях, мировой судья 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32.2 Кодекса Российской Федерации об административных правонарушениях, мировой судья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генерального директора ООО «Инкомстрой» Львова Игоря Юрьевича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15.33.2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триста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 по реквизитам: наименование получателя платежа - УФК ПО Ханты-Мансийскому автономному округу - Югре (ОСФР по ХМАО - Югре, л/с 04874Ф87010) ИНН получателя платежа - 8601002078 КПП получателя платежа – 860101001 Счет получателя платежа (номер казначейского счета, Р/счет) - 03100643000000018700; Номер счета банка получателя (номер банковского счета, входящего в состав единого казначейского счета, Кор/счет) – 40102810245370000007 Наименование банка получателя — РКЦ Ханты-Мансийск//УФК по Ханты-Мансийскому автономному округу - Югре г. Ханты-Мансийск БИК ТОФК - 007162163 ОКТМО 71 874 000 (г.Нефтеюганск), ОКТМО 71 818 000 (Нефтеюганский район), ОКТМО 71885000 (Пыть-Ях), КБК 797116012300600001140 УИН </w:t>
      </w:r>
      <w:r>
        <w:rPr>
          <w:rFonts w:ascii="Times New Roman" w:eastAsia="Times New Roman" w:hAnsi="Times New Roman" w:cs="Times New Roman"/>
          <w:sz w:val="26"/>
          <w:szCs w:val="26"/>
        </w:rPr>
        <w:t>797027000000000291241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за неуплату административного штрафа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tabs>
          <w:tab w:val="left" w:pos="6570"/>
        </w:tabs>
        <w:spacing w:before="0" w:after="0"/>
        <w:ind w:left="1560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Р.В. Агзямова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12"/>
          <w:szCs w:val="12"/>
        </w:rPr>
      </w:pPr>
    </w:p>
    <w:tbl>
      <w:tblPr>
        <w:tblW w:w="10465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5"/>
        <w:gridCol w:w="5660"/>
      </w:tblGrid>
      <w:tr>
        <w:tblPrEx>
          <w:tblW w:w="10465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1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left="567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6rplc-6">
    <w:name w:val="cat-ExternalSystemDefined grp-46 rplc-6"/>
    <w:basedOn w:val="DefaultParagraphFont"/>
  </w:style>
  <w:style w:type="character" w:customStyle="1" w:styleId="cat-PassportDatagrp-32rplc-7">
    <w:name w:val="cat-PassportData grp-32 rplc-7"/>
    <w:basedOn w:val="DefaultParagraphFont"/>
  </w:style>
  <w:style w:type="character" w:customStyle="1" w:styleId="cat-PassportDatagrp-33rplc-9">
    <w:name w:val="cat-PassportData grp-33 rplc-9"/>
    <w:basedOn w:val="DefaultParagraphFont"/>
  </w:style>
  <w:style w:type="character" w:customStyle="1" w:styleId="cat-ExternalSystemDefinedgrp-45rplc-10">
    <w:name w:val="cat-ExternalSystemDefined grp-45 rplc-10"/>
    <w:basedOn w:val="DefaultParagraphFont"/>
  </w:style>
  <w:style w:type="character" w:customStyle="1" w:styleId="cat-ExternalSystemDefinedgrp-44rplc-11">
    <w:name w:val="cat-ExternalSystemDefined grp-44 rplc-11"/>
    <w:basedOn w:val="DefaultParagraphFont"/>
  </w:style>
  <w:style w:type="character" w:customStyle="1" w:styleId="cat-UserDefinedgrp-47rplc-24">
    <w:name w:val="cat-UserDefined grp-47 rplc-24"/>
    <w:basedOn w:val="DefaultParagraphFont"/>
  </w:style>
  <w:style w:type="character" w:customStyle="1" w:styleId="cat-UserDefinedgrp-48rplc-52">
    <w:name w:val="cat-UserDefined grp-48 rplc-52"/>
    <w:basedOn w:val="DefaultParagraphFont"/>
  </w:style>
  <w:style w:type="character" w:customStyle="1" w:styleId="cat-UserDefinedgrp-49rplc-55">
    <w:name w:val="cat-UserDefined grp-49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