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Дело № 5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386</w:t>
      </w:r>
      <w:r>
        <w:rPr>
          <w:rFonts w:ascii="Times New Roman" w:eastAsia="Times New Roman" w:hAnsi="Times New Roman" w:cs="Times New Roman"/>
          <w:sz w:val="26"/>
          <w:szCs w:val="26"/>
        </w:rPr>
        <w:t>-2612</w:t>
      </w:r>
      <w:r>
        <w:rPr>
          <w:rFonts w:ascii="Times New Roman" w:eastAsia="Times New Roman" w:hAnsi="Times New Roman" w:cs="Times New Roman"/>
          <w:sz w:val="26"/>
          <w:szCs w:val="26"/>
        </w:rPr>
        <w:t>/2024</w:t>
      </w:r>
    </w:p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0067-01-2024-001323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40</w:t>
      </w:r>
    </w:p>
    <w:p>
      <w:pPr>
        <w:spacing w:before="0" w:after="0"/>
        <w:jc w:val="right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</w:t>
      </w:r>
    </w:p>
    <w:p>
      <w:pPr>
        <w:tabs>
          <w:tab w:val="left" w:pos="3495"/>
        </w:tabs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06 марта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года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город Сургут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Ханты-Мансийского автономного округа – Югры Думлер Г.П., находящийся по адресу: ХМАО-Югра, г. Сургут, ул. Гагарина, д. 9,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402, рассмотрев материалы дела об административном правонарушении,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предусмотренном ст.15.5 КоАП РФ в отношении: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Фараджова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26rplc-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ранее не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привлекавшегося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административной ответственности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Фараджов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М.М.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являясь должностным лицом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 представил в Инспекцию ФНС России по г. Сургуту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расчет по страховым </w:t>
      </w:r>
      <w:r>
        <w:rPr>
          <w:rFonts w:ascii="Times New Roman" w:eastAsia="Times New Roman" w:hAnsi="Times New Roman" w:cs="Times New Roman"/>
          <w:sz w:val="26"/>
          <w:szCs w:val="26"/>
        </w:rPr>
        <w:t>взносам за 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месяцев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>, срок предоставления к</w:t>
      </w:r>
      <w:r>
        <w:rPr>
          <w:rFonts w:ascii="Times New Roman" w:eastAsia="Times New Roman" w:hAnsi="Times New Roman" w:cs="Times New Roman"/>
          <w:sz w:val="26"/>
          <w:szCs w:val="26"/>
        </w:rPr>
        <w:t>ото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рого установлен не позднее </w:t>
      </w:r>
      <w:r>
        <w:rPr>
          <w:rStyle w:val="cat-UserDefinedgrp-27rplc-1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в результате, чего допущено нарушение срока предоставления расчета, предусмотренного п.п.4 п.1 ст. 23, п. 7 ст. 431 НК РФ.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Фараджов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М.М.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извещенный о времени и месте рассмотрения дела надлежащим образом, а именно судебной повесткой, возвращенной в связи с истечением рока хранения, в судебное заседание не явился, ходатайств об отложении рассмотрения дела не заявлял.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п. 6 Постановления Пленума Верховного Суда Российской Федерации от 24 марта 2005 года № 5 «О некоторых вопросах, возникающих у судов при применении Кодекса Российской Федерации об административных правонарушениях» разъяснено, что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года N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343.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Фараджова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М.М.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 2 ст. 25.1 КоАП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Изучив материалы дела, судья пришел к следующим выводам.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силу </w:t>
      </w:r>
      <w:r>
        <w:rPr>
          <w:rFonts w:ascii="Times New Roman" w:eastAsia="Times New Roman" w:hAnsi="Times New Roman" w:cs="Times New Roman"/>
          <w:sz w:val="26"/>
          <w:szCs w:val="26"/>
        </w:rPr>
        <w:t>п.п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силу п. 7 ст. 431 НК РФ налогоплательщики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представляют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расчет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организации, которым организацией открыты счета в банках и которые начисляют и производят выплаты и иные </w:t>
      </w:r>
      <w:r>
        <w:rPr>
          <w:rFonts w:ascii="Times New Roman" w:eastAsia="Times New Roman" w:hAnsi="Times New Roman" w:cs="Times New Roman"/>
          <w:sz w:val="26"/>
          <w:szCs w:val="26"/>
        </w:rPr>
        <w:t>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подтверждение виновности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Фараджова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М.М.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суду представлены: протокол об админис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Style w:val="cat-UserDefinedgrp-28rplc-2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; выписка из Единого государственного реестра юридических лиц, справка о несвоевременном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едоставлении декларации от </w:t>
      </w:r>
      <w:r>
        <w:rPr>
          <w:rStyle w:val="cat-UserDefinedgrp-11rplc-3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; подтверждение даты отпр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авки; уведомление </w:t>
      </w:r>
      <w:r>
        <w:rPr>
          <w:rFonts w:ascii="Times New Roman" w:eastAsia="Times New Roman" w:hAnsi="Times New Roman" w:cs="Times New Roman"/>
          <w:sz w:val="26"/>
          <w:szCs w:val="26"/>
        </w:rPr>
        <w:t>о составлении протокола об административных правонарушениях; информационное письмо; список почтовых отправлений.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Таким образом, совокупность доказательств позволяет суду сделать вывод о виновности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Фараджова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М.М.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совершении административного правонарушения, предусмотренного ст. 15.5 КоАП РФ.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Действия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Фараджова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М.М.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Обстоятельств, перечисленных в ст. ст. 24.5, 29.2 КоАП РФ, исключающих производство по делу об административном правонарушении и возможность рассмотрения дела, не имеется.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Обстоятельств, смягчающих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или отягчающих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административную ответственность, суд не усматривает.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определении меры наказания, суд учитывает характер совершенного административного правонарушения, данные о личности нарушителя.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основании изложенного, руководствуясь </w:t>
      </w:r>
      <w:r>
        <w:rPr>
          <w:rFonts w:ascii="Times New Roman" w:eastAsia="Times New Roman" w:hAnsi="Times New Roman" w:cs="Times New Roman"/>
          <w:sz w:val="26"/>
          <w:szCs w:val="26"/>
        </w:rPr>
        <w:t>ст.ст</w:t>
      </w:r>
      <w:r>
        <w:rPr>
          <w:rFonts w:ascii="Times New Roman" w:eastAsia="Times New Roman" w:hAnsi="Times New Roman" w:cs="Times New Roman"/>
          <w:sz w:val="26"/>
          <w:szCs w:val="26"/>
        </w:rPr>
        <w:t>. 29.9-29.11 КоАП РФ, мировой судья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Фараджова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29rplc-3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ст. 15.5 КоАП РФ,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 назначить наказание в виде </w:t>
      </w:r>
      <w:r>
        <w:rPr>
          <w:rFonts w:ascii="Times New Roman" w:eastAsia="Times New Roman" w:hAnsi="Times New Roman" w:cs="Times New Roman"/>
          <w:sz w:val="26"/>
          <w:szCs w:val="26"/>
        </w:rPr>
        <w:t>предупреждения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10 суток со дня вручения или получения копии постановления в Сургутский городской суд через миро</w:t>
      </w:r>
      <w:r>
        <w:rPr>
          <w:rFonts w:ascii="Times New Roman" w:eastAsia="Times New Roman" w:hAnsi="Times New Roman" w:cs="Times New Roman"/>
          <w:sz w:val="26"/>
          <w:szCs w:val="26"/>
        </w:rPr>
        <w:t>вую судью судебного участка № 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Ханты-Мансийского автономного округа – Югры.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подпись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Г.П. Думлер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Style w:val="cat-UserDefinedgrp-30rplc-38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6rplc-8">
    <w:name w:val="cat-UserDefined grp-26 rplc-8"/>
    <w:basedOn w:val="DefaultParagraphFont"/>
  </w:style>
  <w:style w:type="character" w:customStyle="1" w:styleId="cat-UserDefinedgrp-27rplc-19">
    <w:name w:val="cat-UserDefined grp-27 rplc-19"/>
    <w:basedOn w:val="DefaultParagraphFont"/>
  </w:style>
  <w:style w:type="character" w:customStyle="1" w:styleId="cat-UserDefinedgrp-28rplc-27">
    <w:name w:val="cat-UserDefined grp-28 rplc-27"/>
    <w:basedOn w:val="DefaultParagraphFont"/>
  </w:style>
  <w:style w:type="character" w:customStyle="1" w:styleId="cat-UserDefinedgrp-11rplc-31">
    <w:name w:val="cat-UserDefined grp-11 rplc-31"/>
    <w:basedOn w:val="DefaultParagraphFont"/>
  </w:style>
  <w:style w:type="character" w:customStyle="1" w:styleId="cat-UserDefinedgrp-29rplc-34">
    <w:name w:val="cat-UserDefined grp-29 rplc-34"/>
    <w:basedOn w:val="DefaultParagraphFont"/>
  </w:style>
  <w:style w:type="character" w:customStyle="1" w:styleId="cat-UserDefinedgrp-30rplc-38">
    <w:name w:val="cat-UserDefined grp-30 rplc-3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document/cons_doc_LAW_28165/e0b0bacc43879936cfcee26e50294e81d05b5cb1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