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ело № 5-</w:t>
      </w:r>
      <w:r>
        <w:rPr>
          <w:rFonts w:ascii="Times New Roman" w:eastAsia="Times New Roman" w:hAnsi="Times New Roman" w:cs="Times New Roman"/>
        </w:rPr>
        <w:t>203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Нефтеюганского судебного района Ханты-Мансийского автономного округа – </w:t>
      </w:r>
      <w:r>
        <w:rPr>
          <w:rFonts w:ascii="Times New Roman" w:eastAsia="Times New Roman" w:hAnsi="Times New Roman" w:cs="Times New Roman"/>
          <w:sz w:val="28"/>
          <w:szCs w:val="28"/>
        </w:rPr>
        <w:t>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Постовалова Т.П.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(628331, 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 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рассмотрев в открытом судебном заседании дело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 в отношении: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Тепаева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Рафаэля </w:t>
      </w:r>
      <w:r>
        <w:rPr>
          <w:rFonts w:ascii="Times New Roman" w:eastAsia="Times New Roman" w:hAnsi="Times New Roman" w:cs="Times New Roman"/>
          <w:sz w:val="28"/>
          <w:szCs w:val="28"/>
        </w:rPr>
        <w:t>Шайдулловича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4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8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работающего </w:t>
      </w:r>
      <w:r>
        <w:rPr>
          <w:rFonts w:ascii="Times New Roman" w:eastAsia="Times New Roman" w:hAnsi="Times New Roman" w:cs="Times New Roman"/>
          <w:sz w:val="28"/>
          <w:szCs w:val="28"/>
        </w:rPr>
        <w:t>генеральным директором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«Вираж»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проживающего по адресу: </w:t>
      </w:r>
      <w:r>
        <w:rPr>
          <w:rStyle w:val="cat-UserDefinedgrp-25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9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2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3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6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Кодекса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 об административных правонарушениях,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 С Т А Н О В И Л:</w:t>
      </w:r>
    </w:p>
    <w:p>
      <w:pPr>
        <w:spacing w:before="0" w:after="0"/>
        <w:jc w:val="center"/>
        <w:rPr>
          <w:sz w:val="10"/>
          <w:szCs w:val="10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Тепаев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Р.Ш.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>генеральным директором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«Вираж»</w:t>
      </w:r>
      <w:r>
        <w:rPr>
          <w:rFonts w:ascii="Times New Roman" w:eastAsia="Times New Roman" w:hAnsi="Times New Roman" w:cs="Times New Roman"/>
          <w:sz w:val="28"/>
          <w:szCs w:val="28"/>
        </w:rPr>
        <w:t>, зарегистрированного по адресу: ХМАО-Югра, г. 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-н, </w:t>
      </w:r>
      <w:r>
        <w:rPr>
          <w:rFonts w:ascii="Times New Roman" w:eastAsia="Times New Roman" w:hAnsi="Times New Roman" w:cs="Times New Roman"/>
          <w:sz w:val="28"/>
          <w:szCs w:val="28"/>
        </w:rPr>
        <w:t>53 дом, 16 кв.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налоговый орган по месту учета – межрайонную ИФНС </w:t>
      </w:r>
      <w:r>
        <w:rPr>
          <w:rFonts w:ascii="Times New Roman" w:eastAsia="Times New Roman" w:hAnsi="Times New Roman" w:cs="Times New Roman"/>
          <w:sz w:val="28"/>
          <w:szCs w:val="28"/>
        </w:rPr>
        <w:t>России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Ханты-Мансийскому автономному округу – Югре, </w:t>
      </w:r>
      <w:r>
        <w:rPr>
          <w:rFonts w:ascii="Times New Roman" w:eastAsia="Times New Roman" w:hAnsi="Times New Roman" w:cs="Times New Roman"/>
          <w:sz w:val="28"/>
          <w:szCs w:val="28"/>
        </w:rPr>
        <w:t>налогов</w:t>
      </w:r>
      <w:r>
        <w:rPr>
          <w:rFonts w:ascii="Times New Roman" w:eastAsia="Times New Roman" w:hAnsi="Times New Roman" w:cs="Times New Roman"/>
          <w:sz w:val="28"/>
          <w:szCs w:val="28"/>
        </w:rPr>
        <w:t>ую декларацию по налогу, уплачиваемо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 применением упрощенной системы налогообложения за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налогово</w:t>
      </w:r>
      <w:r>
        <w:rPr>
          <w:rFonts w:ascii="Times New Roman" w:eastAsia="Times New Roman" w:hAnsi="Times New Roman" w:cs="Times New Roman"/>
          <w:sz w:val="28"/>
          <w:szCs w:val="28"/>
        </w:rPr>
        <w:t>й декларации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фактически налоговая декларация предоставлена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.2023, то есть позже установленного законодательством срока.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Тепаев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Р.Ш.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извещенный судом о времени и месте рассмотрения дела надлежащим образом, в судебное заседание не явился, о причинах неявки суду не сообщил. 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Тепаева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Р.Ш.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его отсутствие.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судья, исследовав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материалы дела, считает,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Тепаева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Р.Ш.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протоколом </w:t>
      </w:r>
      <w:r>
        <w:rPr>
          <w:rStyle w:val="cat-UserDefinedgrp-27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8"/>
          <w:szCs w:val="28"/>
        </w:rPr>
        <w:t>Тепаев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Р.Ш.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налоговый орган по месту учета – межрайонную ИФНС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по Ханты-Мансийскому автономному округу – Югре,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налоговую декларацию по налогу, уплачиваемому в связи с применением упрощенной системы налогообложения за </w:t>
      </w:r>
      <w:r>
        <w:rPr>
          <w:rFonts w:ascii="Times New Roman" w:eastAsia="Times New Roman" w:hAnsi="Times New Roman" w:cs="Times New Roman"/>
          <w:sz w:val="28"/>
          <w:szCs w:val="28"/>
        </w:rPr>
        <w:t>2022 год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сведениями о 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налогов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деклараци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налогу, уплачиваемому в связи с применением упрощенной системы налогообложения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2022 год представлена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выпиской из ЕГРЮЛ.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</w:t>
      </w:r>
      <w:r>
        <w:rPr>
          <w:rFonts w:ascii="Times New Roman" w:eastAsia="Times New Roman" w:hAnsi="Times New Roman" w:cs="Times New Roman"/>
          <w:sz w:val="28"/>
          <w:szCs w:val="28"/>
        </w:rPr>
        <w:t>ьи нет оснований им не доверять.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>. 4 п. 1 ст. 23 Налогового кодекса РФ,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п. 1 и п. 6 ст. 80 Налогового Кодекса РФ, </w:t>
      </w:r>
      <w:r>
        <w:rPr>
          <w:rFonts w:ascii="Times New Roman" w:eastAsia="Times New Roman" w:hAnsi="Times New Roman" w:cs="Times New Roman"/>
          <w:sz w:val="28"/>
          <w:szCs w:val="28"/>
        </w:rPr>
        <w:t>налоговая декларация представляется каждым налогоплательщиком по каждому налогу, подлежащему уплате этим налогоплательщиком, если иное не предусмотрено законодательством о налогах и сборах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установленные законодательством о налогах и сборах сроки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1 п. 1 ст. 346.23 Налогового кодекса РФ, налогоплательщики предоставляют налоговые декларации по </w:t>
      </w:r>
      <w:r>
        <w:rPr>
          <w:rFonts w:ascii="Times New Roman" w:eastAsia="Times New Roman" w:hAnsi="Times New Roman" w:cs="Times New Roman"/>
          <w:sz w:val="28"/>
          <w:szCs w:val="28"/>
        </w:rPr>
        <w:t>единому налогу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 марта года, следующего за истекшим </w:t>
      </w:r>
      <w:hyperlink r:id="rId4" w:anchor="sub_10049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налоговым периодом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Тепаева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Р.Ш.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(расчета по страховым взносам) </w:t>
      </w:r>
      <w:r>
        <w:rPr>
          <w:rFonts w:ascii="Times New Roman" w:eastAsia="Times New Roman" w:hAnsi="Times New Roman" w:cs="Times New Roman"/>
          <w:sz w:val="28"/>
          <w:szCs w:val="28"/>
        </w:rPr>
        <w:t>в налоговый орган по месту учета».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>Тепаева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Р.Ш.</w:t>
      </w:r>
      <w:r>
        <w:rPr>
          <w:rFonts w:ascii="Times New Roman" w:eastAsia="Times New Roman" w:hAnsi="Times New Roman" w:cs="Times New Roman"/>
          <w:sz w:val="28"/>
          <w:szCs w:val="28"/>
        </w:rPr>
        <w:t>, его имущественное положение.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ранее </w:t>
      </w:r>
      <w:r>
        <w:rPr>
          <w:rFonts w:ascii="Times New Roman" w:eastAsia="Times New Roman" w:hAnsi="Times New Roman" w:cs="Times New Roman"/>
          <w:sz w:val="28"/>
          <w:szCs w:val="28"/>
        </w:rPr>
        <w:t>Тепаев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Р.Ш.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привлекал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административной ответственности, судья считает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возможным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предупреждения.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учётом изложенного,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 ч.1, 29.10, 30.1 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правонарушениях, судья</w:t>
      </w:r>
    </w:p>
    <w:p>
      <w:pPr>
        <w:spacing w:before="0" w:after="0"/>
        <w:ind w:firstLine="708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И Л:</w:t>
      </w:r>
    </w:p>
    <w:p>
      <w:pPr>
        <w:spacing w:before="0" w:after="0"/>
        <w:jc w:val="center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«Вираж»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Тепаева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Рафаэля </w:t>
      </w:r>
      <w:r>
        <w:rPr>
          <w:rFonts w:ascii="Times New Roman" w:eastAsia="Times New Roman" w:hAnsi="Times New Roman" w:cs="Times New Roman"/>
          <w:sz w:val="28"/>
          <w:szCs w:val="28"/>
        </w:rPr>
        <w:t>Шайдулловича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предупреждения.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 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Т.П. Постовалова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0"/>
          <w:szCs w:val="20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4rplc-6">
    <w:name w:val="cat-ExternalSystemDefined grp-24 rplc-6"/>
    <w:basedOn w:val="DefaultParagraphFont"/>
  </w:style>
  <w:style w:type="character" w:customStyle="1" w:styleId="cat-PassportDatagrp-18rplc-7">
    <w:name w:val="cat-PassportData grp-18 rplc-7"/>
    <w:basedOn w:val="DefaultParagraphFont"/>
  </w:style>
  <w:style w:type="character" w:customStyle="1" w:styleId="cat-UserDefinedgrp-25rplc-9">
    <w:name w:val="cat-UserDefined grp-25 rplc-9"/>
    <w:basedOn w:val="DefaultParagraphFont"/>
  </w:style>
  <w:style w:type="character" w:customStyle="1" w:styleId="cat-PassportDatagrp-19rplc-11">
    <w:name w:val="cat-PassportData grp-19 rplc-11"/>
    <w:basedOn w:val="DefaultParagraphFont"/>
  </w:style>
  <w:style w:type="character" w:customStyle="1" w:styleId="cat-ExternalSystemDefinedgrp-22rplc-12">
    <w:name w:val="cat-ExternalSystemDefined grp-22 rplc-12"/>
    <w:basedOn w:val="DefaultParagraphFont"/>
  </w:style>
  <w:style w:type="character" w:customStyle="1" w:styleId="cat-ExternalSystemDefinedgrp-23rplc-13">
    <w:name w:val="cat-ExternalSystemDefined grp-23 rplc-13"/>
    <w:basedOn w:val="DefaultParagraphFont"/>
  </w:style>
  <w:style w:type="character" w:customStyle="1" w:styleId="cat-UserDefinedgrp-26rplc-14">
    <w:name w:val="cat-UserDefined grp-26 rplc-14"/>
    <w:basedOn w:val="DefaultParagraphFont"/>
  </w:style>
  <w:style w:type="character" w:customStyle="1" w:styleId="cat-UserDefinedgrp-27rplc-29">
    <w:name w:val="cat-UserDefined grp-27 rplc-29"/>
    <w:basedOn w:val="DefaultParagraphFont"/>
  </w:style>
  <w:style w:type="character" w:customStyle="1" w:styleId="cat-UserDefinedgrp-28rplc-42">
    <w:name w:val="cat-UserDefined grp-28 rplc-42"/>
    <w:basedOn w:val="DefaultParagraphFont"/>
  </w:style>
  <w:style w:type="character" w:customStyle="1" w:styleId="cat-UserDefinedgrp-29rplc-45">
    <w:name w:val="cat-UserDefined grp-29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192.168.51.194\raznoe\&#1057;&#1077;&#1076;&#1099;&#1093;\&#1057;&#1059;%20&#8470;3\962%20%20&#1044;&#1084;&#1080;&#1090;&#1088;&#1080;&#1077;&#1074;%20&#1053;.&#1041;.%20%20%20&#1074;%20&#1086;&#1090;&#1089;.%20&#1085;&#1077;%20&#1087;&#1088;&#1077;&#1076;&#1086;&#1089;&#1090;.%20%20&#1076;&#1077;&#1082;&#1083;%20&#1087;&#1086;%20&#1091;&#1087;&#1088;%20&#1089;&#1080;&#1089;&#1090;&#1077;&#1084;&#1077;%20&#1085;&#1072;&#1083;&#1086;&#1075;&#1086;&#1086;&#1073;&#1083;%20%20&#1079;&#1072;%202022.docx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