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5-144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000084-71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>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еет в переводчике не нуждается,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2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Style w:val="cat-UserDefinedgrp-3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6"/>
          <w:szCs w:val="26"/>
        </w:rPr>
        <w:t>имел шаткую походку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неустойчивость тела, </w:t>
      </w:r>
      <w:r>
        <w:rPr>
          <w:rFonts w:ascii="Times New Roman" w:eastAsia="Times New Roman" w:hAnsi="Times New Roman" w:cs="Times New Roman"/>
          <w:sz w:val="26"/>
          <w:szCs w:val="26"/>
        </w:rPr>
        <w:t>невнятную речь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изменение кожного покрова, </w:t>
      </w:r>
      <w:r>
        <w:rPr>
          <w:rFonts w:ascii="Times New Roman" w:eastAsia="Times New Roman" w:hAnsi="Times New Roman" w:cs="Times New Roman"/>
          <w:sz w:val="26"/>
          <w:szCs w:val="26"/>
        </w:rPr>
        <w:t>неопрятный внешний вид (одежда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грязная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резкий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запах 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полости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6"/>
          <w:szCs w:val="26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sz w:val="26"/>
          <w:szCs w:val="26"/>
        </w:rPr>
        <w:t>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Ю.В.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ППС</w:t>
      </w:r>
      <w:r>
        <w:rPr>
          <w:rFonts w:ascii="Times New Roman" w:eastAsia="Times New Roman" w:hAnsi="Times New Roman" w:cs="Times New Roman"/>
          <w:sz w:val="26"/>
          <w:szCs w:val="26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на состояние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акт медицинского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Кирбановой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6"/>
          <w:szCs w:val="26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задержания с 16.01.2024 с 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5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1">
    <w:name w:val="cat-UserDefined grp-30 rplc-21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2rplc-35">
    <w:name w:val="cat-UserDefined grp-32 rplc-35"/>
    <w:basedOn w:val="DefaultParagraphFont"/>
  </w:style>
  <w:style w:type="character" w:customStyle="1" w:styleId="cat-UserDefinedgrp-33rplc-38">
    <w:name w:val="cat-UserDefined grp-33 rplc-38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35rplc-45">
    <w:name w:val="cat-UserDefined grp-35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